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5CDC37D2" w:rsidR="00A64C18" w:rsidRDefault="003A6BEF">
      <w:pPr>
        <w:pStyle w:val="LGAItemNoHeading"/>
        <w:spacing w:before="240"/>
        <w:rPr>
          <w:rFonts w:ascii="Arial" w:hAnsi="Arial" w:cs="Arial"/>
          <w:sz w:val="28"/>
          <w:szCs w:val="28"/>
        </w:rPr>
      </w:pPr>
      <w:r>
        <w:rPr>
          <w:rFonts w:ascii="Arial" w:hAnsi="Arial" w:cs="Arial"/>
          <w:sz w:val="28"/>
          <w:szCs w:val="28"/>
        </w:rPr>
        <w:t xml:space="preserve">Update </w:t>
      </w:r>
      <w:r w:rsidR="00761F3D">
        <w:rPr>
          <w:rFonts w:ascii="Arial" w:hAnsi="Arial" w:cs="Arial"/>
          <w:sz w:val="28"/>
          <w:szCs w:val="28"/>
        </w:rPr>
        <w:t>paper</w:t>
      </w:r>
    </w:p>
    <w:p w14:paraId="748D5E23" w14:textId="77777777" w:rsidR="00A64C18" w:rsidRDefault="00A64C18">
      <w:pPr>
        <w:pStyle w:val="MainText"/>
        <w:rPr>
          <w:rFonts w:ascii="Arial" w:hAnsi="Arial" w:cs="Arial"/>
          <w:b/>
          <w:sz w:val="24"/>
          <w:szCs w:val="24"/>
        </w:rPr>
      </w:pPr>
    </w:p>
    <w:p w14:paraId="748D5E24" w14:textId="77777777" w:rsidR="00A64C18" w:rsidRDefault="00761F3D">
      <w:pPr>
        <w:pStyle w:val="MainText"/>
        <w:rPr>
          <w:rFonts w:ascii="Arial" w:hAnsi="Arial" w:cs="Arial"/>
          <w:b/>
          <w:szCs w:val="22"/>
        </w:rPr>
      </w:pPr>
      <w:r>
        <w:rPr>
          <w:rFonts w:ascii="Arial" w:hAnsi="Arial" w:cs="Arial"/>
          <w:b/>
          <w:szCs w:val="22"/>
        </w:rPr>
        <w:t xml:space="preserve">Purpose of report </w:t>
      </w:r>
    </w:p>
    <w:p w14:paraId="748D5E25" w14:textId="77777777" w:rsidR="00A64C18" w:rsidRDefault="00A64C18">
      <w:pPr>
        <w:pStyle w:val="MainText"/>
        <w:rPr>
          <w:rFonts w:ascii="Arial" w:hAnsi="Arial" w:cs="Arial"/>
          <w:szCs w:val="22"/>
        </w:rPr>
      </w:pPr>
    </w:p>
    <w:p w14:paraId="748D5E26" w14:textId="77777777" w:rsidR="00A64C18" w:rsidRDefault="00761F3D">
      <w:pPr>
        <w:pStyle w:val="MainText"/>
        <w:rPr>
          <w:rFonts w:ascii="Arial" w:hAnsi="Arial" w:cs="Arial"/>
          <w:szCs w:val="22"/>
        </w:rPr>
      </w:pPr>
      <w:r>
        <w:rPr>
          <w:rFonts w:ascii="Arial" w:hAnsi="Arial" w:cs="Arial"/>
          <w:szCs w:val="22"/>
        </w:rPr>
        <w:t>For information.</w:t>
      </w:r>
    </w:p>
    <w:p w14:paraId="748D5E27" w14:textId="77777777" w:rsidR="00A64C18" w:rsidRDefault="00A64C18">
      <w:pPr>
        <w:pStyle w:val="MainText"/>
        <w:rPr>
          <w:rFonts w:ascii="Arial" w:hAnsi="Arial" w:cs="Arial"/>
          <w:b/>
          <w:szCs w:val="22"/>
        </w:rPr>
      </w:pPr>
    </w:p>
    <w:p w14:paraId="748D5E28" w14:textId="77777777" w:rsidR="00A64C18" w:rsidRDefault="00761F3D">
      <w:pPr>
        <w:pStyle w:val="MainText"/>
      </w:pPr>
      <w:r>
        <w:rPr>
          <w:rFonts w:ascii="Arial" w:hAnsi="Arial" w:cs="Arial"/>
          <w:b/>
          <w:szCs w:val="22"/>
        </w:rPr>
        <w:t>Summary</w:t>
      </w:r>
    </w:p>
    <w:p w14:paraId="748D5E29" w14:textId="77777777" w:rsidR="00A64C18" w:rsidRDefault="00A64C18">
      <w:pPr>
        <w:pStyle w:val="MainText"/>
        <w:rPr>
          <w:rFonts w:ascii="Arial" w:hAnsi="Arial" w:cs="Arial"/>
          <w:szCs w:val="22"/>
        </w:rPr>
      </w:pPr>
    </w:p>
    <w:p w14:paraId="748D5E2A" w14:textId="5AFE7B90" w:rsidR="00A64C18" w:rsidRDefault="00761F3D">
      <w:pPr>
        <w:pStyle w:val="MainText"/>
        <w:rPr>
          <w:rFonts w:ascii="Arial" w:hAnsi="Arial" w:cs="Arial"/>
          <w:szCs w:val="22"/>
        </w:rPr>
      </w:pPr>
      <w:r>
        <w:rPr>
          <w:rFonts w:ascii="Arial" w:hAnsi="Arial" w:cs="Arial"/>
          <w:szCs w:val="22"/>
        </w:rPr>
        <w:t xml:space="preserve">The report outlines issues of interest to the </w:t>
      </w:r>
      <w:r w:rsidR="003A6BEF">
        <w:rPr>
          <w:rFonts w:ascii="Arial" w:hAnsi="Arial" w:cs="Arial"/>
          <w:szCs w:val="22"/>
        </w:rPr>
        <w:t>Board</w:t>
      </w:r>
      <w:r>
        <w:rPr>
          <w:rFonts w:ascii="Arial" w:hAnsi="Arial" w:cs="Arial"/>
          <w:szCs w:val="22"/>
        </w:rPr>
        <w:t xml:space="preserve"> not covered under the other items on the agenda.</w:t>
      </w:r>
    </w:p>
    <w:p w14:paraId="748D5E2B" w14:textId="77777777" w:rsidR="00A64C18" w:rsidRDefault="00A64C18">
      <w:pPr>
        <w:pStyle w:val="MainText"/>
        <w:rPr>
          <w:rFonts w:ascii="Arial" w:hAnsi="Arial" w:cs="Arial"/>
          <w:szCs w:val="22"/>
        </w:rPr>
      </w:pPr>
    </w:p>
    <w:p w14:paraId="748D5E2C" w14:textId="77777777" w:rsidR="00A64C18" w:rsidRDefault="00A64C18">
      <w:pPr>
        <w:pStyle w:val="MainText"/>
        <w:ind w:left="567"/>
        <w:rPr>
          <w:rFonts w:ascii="Arial" w:hAnsi="Arial" w:cs="Arial"/>
          <w:szCs w:val="22"/>
        </w:rPr>
      </w:pPr>
    </w:p>
    <w:p w14:paraId="748D5E2D" w14:textId="77777777" w:rsidR="00A64C18" w:rsidRDefault="00761F3D">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Default="00A64C18">
            <w:pPr>
              <w:pStyle w:val="MainText"/>
              <w:rPr>
                <w:rFonts w:ascii="Arial" w:hAnsi="Arial" w:cs="Arial"/>
                <w:b/>
                <w:szCs w:val="22"/>
              </w:rPr>
            </w:pPr>
          </w:p>
          <w:p w14:paraId="748D5E2F" w14:textId="77777777" w:rsidR="00A64C18" w:rsidRDefault="00761F3D">
            <w:pPr>
              <w:pStyle w:val="MainText"/>
              <w:rPr>
                <w:rFonts w:ascii="Arial" w:hAnsi="Arial" w:cs="Arial"/>
                <w:b/>
                <w:szCs w:val="22"/>
              </w:rPr>
            </w:pPr>
            <w:r>
              <w:rPr>
                <w:rFonts w:ascii="Arial" w:hAnsi="Arial" w:cs="Arial"/>
                <w:b/>
                <w:szCs w:val="22"/>
              </w:rPr>
              <w:t>Recommendation</w:t>
            </w:r>
          </w:p>
          <w:p w14:paraId="748D5E30" w14:textId="77777777" w:rsidR="00A64C18" w:rsidRDefault="00A64C18">
            <w:pPr>
              <w:pStyle w:val="MainText"/>
              <w:rPr>
                <w:rFonts w:ascii="Arial" w:hAnsi="Arial" w:cs="Arial"/>
                <w:b/>
                <w:szCs w:val="22"/>
              </w:rPr>
            </w:pPr>
          </w:p>
          <w:p w14:paraId="748D5E31" w14:textId="2CF29990" w:rsidR="00A64C18" w:rsidRDefault="005F2CEA">
            <w:pPr>
              <w:pStyle w:val="MainText"/>
              <w:rPr>
                <w:rFonts w:ascii="Arial" w:hAnsi="Arial" w:cs="Arial"/>
                <w:szCs w:val="22"/>
              </w:rPr>
            </w:pPr>
            <w:r>
              <w:rPr>
                <w:rFonts w:ascii="Arial" w:hAnsi="Arial" w:cs="Arial"/>
                <w:szCs w:val="22"/>
              </w:rPr>
              <w:t>That the SSC Board</w:t>
            </w:r>
            <w:r w:rsidR="00761F3D">
              <w:rPr>
                <w:rFonts w:ascii="Arial" w:hAnsi="Arial" w:cs="Arial"/>
                <w:szCs w:val="22"/>
              </w:rPr>
              <w:t xml:space="preserve"> note the update.</w:t>
            </w:r>
          </w:p>
          <w:p w14:paraId="748D5E32" w14:textId="77777777" w:rsidR="00A64C18" w:rsidRDefault="00A64C18">
            <w:pPr>
              <w:pStyle w:val="MainText"/>
              <w:rPr>
                <w:rFonts w:ascii="Arial" w:hAnsi="Arial" w:cs="Arial"/>
                <w:szCs w:val="22"/>
              </w:rPr>
            </w:pPr>
          </w:p>
          <w:p w14:paraId="748D5E33" w14:textId="77777777" w:rsidR="00A64C18" w:rsidRDefault="00761F3D">
            <w:pPr>
              <w:pStyle w:val="MainText"/>
              <w:rPr>
                <w:rFonts w:ascii="Arial" w:hAnsi="Arial" w:cs="Arial"/>
                <w:b/>
                <w:szCs w:val="22"/>
              </w:rPr>
            </w:pPr>
            <w:r>
              <w:rPr>
                <w:rFonts w:ascii="Arial" w:hAnsi="Arial" w:cs="Arial"/>
                <w:b/>
                <w:szCs w:val="22"/>
              </w:rPr>
              <w:t>Action</w:t>
            </w:r>
          </w:p>
          <w:p w14:paraId="748D5E34" w14:textId="77777777" w:rsidR="00A64C18" w:rsidRDefault="00A64C18">
            <w:pPr>
              <w:pStyle w:val="MainText"/>
              <w:rPr>
                <w:rFonts w:ascii="Arial" w:hAnsi="Arial" w:cs="Arial"/>
                <w:b/>
                <w:szCs w:val="22"/>
              </w:rPr>
            </w:pPr>
          </w:p>
          <w:p w14:paraId="748D5E35" w14:textId="77777777" w:rsidR="00A64C18" w:rsidRDefault="00761F3D">
            <w:pPr>
              <w:pStyle w:val="MainText"/>
              <w:rPr>
                <w:rFonts w:ascii="Arial" w:hAnsi="Arial" w:cs="Arial"/>
                <w:szCs w:val="22"/>
              </w:rPr>
            </w:pPr>
            <w:r>
              <w:rPr>
                <w:rFonts w:ascii="Arial" w:hAnsi="Arial" w:cs="Arial"/>
                <w:szCs w:val="22"/>
              </w:rPr>
              <w:t>Officers to progress as appropriate.</w:t>
            </w:r>
          </w:p>
          <w:p w14:paraId="748D5E36" w14:textId="77777777" w:rsidR="00A64C18" w:rsidRDefault="00A64C18">
            <w:pPr>
              <w:pStyle w:val="MainText"/>
              <w:rPr>
                <w:rFonts w:ascii="Arial" w:hAnsi="Arial" w:cs="Arial"/>
                <w:b/>
                <w:szCs w:val="22"/>
              </w:rPr>
            </w:pPr>
          </w:p>
        </w:tc>
      </w:tr>
    </w:tbl>
    <w:p w14:paraId="748D5E38" w14:textId="77777777" w:rsidR="00A64C18" w:rsidRDefault="00A64C18">
      <w:pPr>
        <w:pStyle w:val="MainText"/>
        <w:rPr>
          <w:rFonts w:ascii="Arial" w:hAnsi="Arial" w:cs="Arial"/>
          <w:szCs w:val="22"/>
        </w:rPr>
      </w:pPr>
    </w:p>
    <w:p w14:paraId="748D5E39" w14:textId="77777777" w:rsidR="00A64C18" w:rsidRDefault="00A64C18">
      <w:pPr>
        <w:pStyle w:val="MainText"/>
        <w:rPr>
          <w:rFonts w:ascii="Arial" w:hAnsi="Arial" w:cs="Arial"/>
          <w:szCs w:val="22"/>
        </w:rPr>
      </w:pPr>
    </w:p>
    <w:p w14:paraId="748D5E3A" w14:textId="77777777" w:rsidR="00A64C18" w:rsidRDefault="00A64C18">
      <w:pPr>
        <w:pStyle w:val="MainText"/>
        <w:rPr>
          <w:rFonts w:ascii="Arial" w:hAnsi="Arial" w:cs="Arial"/>
          <w:szCs w:val="22"/>
        </w:rPr>
      </w:pPr>
    </w:p>
    <w:p w14:paraId="748D5E3B" w14:textId="77777777" w:rsidR="00A64C18"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748D5E3E" w14:textId="77777777">
        <w:tc>
          <w:tcPr>
            <w:tcW w:w="2767" w:type="dxa"/>
            <w:shd w:val="clear" w:color="auto" w:fill="auto"/>
            <w:tcMar>
              <w:top w:w="0" w:type="dxa"/>
              <w:left w:w="108" w:type="dxa"/>
              <w:bottom w:w="0" w:type="dxa"/>
              <w:right w:w="108" w:type="dxa"/>
            </w:tcMar>
          </w:tcPr>
          <w:p w14:paraId="748D5E3C" w14:textId="77777777" w:rsidR="00A64C18" w:rsidRDefault="00761F3D">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60504497" w:rsidR="00A64C18" w:rsidRDefault="003A6BEF" w:rsidP="003A6BEF">
            <w:pPr>
              <w:pStyle w:val="MainText"/>
              <w:spacing w:after="120" w:line="240" w:lineRule="auto"/>
              <w:rPr>
                <w:rFonts w:ascii="Arial" w:hAnsi="Arial" w:cs="Arial"/>
                <w:szCs w:val="22"/>
              </w:rPr>
            </w:pPr>
            <w:r>
              <w:rPr>
                <w:rFonts w:ascii="Arial" w:hAnsi="Arial" w:cs="Arial"/>
                <w:szCs w:val="22"/>
              </w:rPr>
              <w:t>Mark Norris</w:t>
            </w:r>
          </w:p>
        </w:tc>
      </w:tr>
      <w:tr w:rsidR="00A64C18" w14:paraId="748D5E41" w14:textId="77777777">
        <w:tc>
          <w:tcPr>
            <w:tcW w:w="2767" w:type="dxa"/>
            <w:shd w:val="clear" w:color="auto" w:fill="auto"/>
            <w:tcMar>
              <w:top w:w="0" w:type="dxa"/>
              <w:left w:w="108" w:type="dxa"/>
              <w:bottom w:w="0" w:type="dxa"/>
              <w:right w:w="108" w:type="dxa"/>
            </w:tcMar>
          </w:tcPr>
          <w:p w14:paraId="748D5E3F" w14:textId="77777777" w:rsidR="00A64C18" w:rsidRDefault="00761F3D">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517D51E6" w:rsidR="00A64C18" w:rsidRDefault="003A6BEF">
            <w:pPr>
              <w:pStyle w:val="MainText"/>
              <w:spacing w:after="120" w:line="240" w:lineRule="auto"/>
              <w:rPr>
                <w:rFonts w:ascii="Arial" w:hAnsi="Arial" w:cs="Arial"/>
                <w:szCs w:val="22"/>
              </w:rPr>
            </w:pPr>
            <w:r>
              <w:rPr>
                <w:rFonts w:ascii="Arial" w:hAnsi="Arial" w:cs="Arial"/>
                <w:szCs w:val="22"/>
              </w:rPr>
              <w:t>Principal Policy Adviser</w:t>
            </w:r>
          </w:p>
        </w:tc>
      </w:tr>
      <w:tr w:rsidR="00A64C18" w14:paraId="748D5E44" w14:textId="77777777">
        <w:tc>
          <w:tcPr>
            <w:tcW w:w="2767" w:type="dxa"/>
            <w:shd w:val="clear" w:color="auto" w:fill="auto"/>
            <w:tcMar>
              <w:top w:w="0" w:type="dxa"/>
              <w:left w:w="108" w:type="dxa"/>
              <w:bottom w:w="0" w:type="dxa"/>
              <w:right w:w="108" w:type="dxa"/>
            </w:tcMar>
          </w:tcPr>
          <w:p w14:paraId="748D5E42" w14:textId="77777777" w:rsidR="00A64C18" w:rsidRDefault="00761F3D">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01F9264F" w:rsidR="00A64C18" w:rsidRDefault="003A6BEF">
            <w:pPr>
              <w:pStyle w:val="MainText"/>
              <w:spacing w:after="120" w:line="240" w:lineRule="auto"/>
              <w:rPr>
                <w:rFonts w:ascii="Arial" w:hAnsi="Arial" w:cs="Arial"/>
                <w:szCs w:val="22"/>
              </w:rPr>
            </w:pPr>
            <w:r>
              <w:rPr>
                <w:rFonts w:ascii="Arial" w:hAnsi="Arial" w:cs="Arial"/>
                <w:szCs w:val="22"/>
              </w:rPr>
              <w:t>020 7644 3241</w:t>
            </w:r>
          </w:p>
        </w:tc>
      </w:tr>
      <w:tr w:rsidR="00A64C18" w14:paraId="748D5E47" w14:textId="77777777">
        <w:tc>
          <w:tcPr>
            <w:tcW w:w="2767" w:type="dxa"/>
            <w:shd w:val="clear" w:color="auto" w:fill="auto"/>
            <w:tcMar>
              <w:top w:w="0" w:type="dxa"/>
              <w:left w:w="108" w:type="dxa"/>
              <w:bottom w:w="0" w:type="dxa"/>
              <w:right w:w="108" w:type="dxa"/>
            </w:tcMar>
          </w:tcPr>
          <w:p w14:paraId="748D5E45" w14:textId="77777777" w:rsidR="00A64C18" w:rsidRDefault="00761F3D">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54988C2E" w:rsidR="00A64C18" w:rsidRDefault="003A6BEF">
            <w:pPr>
              <w:pStyle w:val="MainText"/>
              <w:spacing w:after="120" w:line="240" w:lineRule="auto"/>
            </w:pPr>
            <w:r>
              <w:rPr>
                <w:rFonts w:ascii="Arial" w:hAnsi="Arial" w:cs="Arial"/>
                <w:szCs w:val="22"/>
              </w:rPr>
              <w:t>mark.norris@local.gov.uk</w:t>
            </w:r>
          </w:p>
        </w:tc>
      </w:tr>
    </w:tbl>
    <w:p w14:paraId="748D5E48" w14:textId="77777777" w:rsidR="00A64C18" w:rsidRDefault="00A64C18">
      <w:pPr>
        <w:pStyle w:val="MainText"/>
        <w:rPr>
          <w:rFonts w:ascii="Arial" w:hAnsi="Arial" w:cs="Arial"/>
          <w:sz w:val="24"/>
          <w:szCs w:val="24"/>
        </w:rPr>
      </w:pPr>
    </w:p>
    <w:p w14:paraId="748D5E49" w14:textId="77777777" w:rsidR="00A64C18" w:rsidRDefault="00A64C18">
      <w:pPr>
        <w:pStyle w:val="MainText"/>
        <w:rPr>
          <w:rFonts w:ascii="Arial" w:hAnsi="Arial" w:cs="Arial"/>
          <w:sz w:val="24"/>
          <w:szCs w:val="24"/>
        </w:rPr>
      </w:pPr>
    </w:p>
    <w:p w14:paraId="748D5E4A" w14:textId="77777777" w:rsidR="00A64C18" w:rsidRDefault="00A64C18">
      <w:pPr>
        <w:pStyle w:val="MainText"/>
        <w:rPr>
          <w:rFonts w:ascii="Arial" w:hAnsi="Arial" w:cs="Arial"/>
          <w:sz w:val="24"/>
          <w:szCs w:val="24"/>
        </w:rPr>
        <w:sectPr w:rsidR="00A64C18">
          <w:headerReference w:type="default" r:id="rId10"/>
          <w:footerReference w:type="default" r:id="rId11"/>
          <w:headerReference w:type="first" r:id="rId12"/>
          <w:pgSz w:w="11907" w:h="16840"/>
          <w:pgMar w:top="1418" w:right="1418" w:bottom="1418" w:left="1418" w:header="1134" w:footer="567" w:gutter="0"/>
          <w:cols w:space="720"/>
          <w:titlePg/>
        </w:sectPr>
      </w:pPr>
    </w:p>
    <w:p w14:paraId="748D5E4B" w14:textId="2FE611FF" w:rsidR="00A64C18" w:rsidRDefault="003A6BEF">
      <w:pPr>
        <w:pStyle w:val="LGAItemNoHeading"/>
        <w:spacing w:before="240"/>
        <w:rPr>
          <w:rFonts w:ascii="Arial" w:hAnsi="Arial" w:cs="Arial"/>
          <w:sz w:val="28"/>
          <w:szCs w:val="28"/>
        </w:rPr>
      </w:pPr>
      <w:bookmarkStart w:id="0" w:name="MainHeading2"/>
      <w:bookmarkEnd w:id="0"/>
      <w:r>
        <w:rPr>
          <w:rFonts w:ascii="Arial" w:hAnsi="Arial" w:cs="Arial"/>
          <w:sz w:val="28"/>
          <w:szCs w:val="28"/>
        </w:rPr>
        <w:lastRenderedPageBreak/>
        <w:t>Update</w:t>
      </w:r>
      <w:r w:rsidR="00761F3D">
        <w:rPr>
          <w:rFonts w:ascii="Arial" w:hAnsi="Arial" w:cs="Arial"/>
          <w:sz w:val="28"/>
          <w:szCs w:val="28"/>
        </w:rPr>
        <w:t xml:space="preserve"> paper</w:t>
      </w:r>
    </w:p>
    <w:p w14:paraId="748D5E4C" w14:textId="77777777" w:rsidR="00A64C18" w:rsidRDefault="00A64C18">
      <w:pPr>
        <w:pStyle w:val="Default"/>
        <w:tabs>
          <w:tab w:val="left" w:pos="567"/>
        </w:tabs>
        <w:rPr>
          <w:b/>
          <w:color w:val="auto"/>
          <w:sz w:val="22"/>
          <w:szCs w:val="22"/>
        </w:rPr>
      </w:pPr>
    </w:p>
    <w:p w14:paraId="748D5E4D" w14:textId="6EF5C0F3" w:rsidR="00A64C18" w:rsidRPr="00197A8A" w:rsidRDefault="00734DE1">
      <w:pPr>
        <w:pStyle w:val="Default"/>
        <w:tabs>
          <w:tab w:val="left" w:pos="567"/>
        </w:tabs>
        <w:rPr>
          <w:b/>
          <w:color w:val="auto"/>
          <w:sz w:val="22"/>
          <w:szCs w:val="22"/>
        </w:rPr>
      </w:pPr>
      <w:r w:rsidRPr="00197A8A">
        <w:rPr>
          <w:b/>
          <w:color w:val="auto"/>
          <w:sz w:val="22"/>
          <w:szCs w:val="22"/>
        </w:rPr>
        <w:t>Investigatory Powers Act</w:t>
      </w:r>
    </w:p>
    <w:p w14:paraId="748D5E4E" w14:textId="77777777" w:rsidR="00A64C18" w:rsidRPr="00197A8A" w:rsidRDefault="00A64C18">
      <w:pPr>
        <w:pStyle w:val="Default"/>
        <w:tabs>
          <w:tab w:val="left" w:pos="567"/>
        </w:tabs>
        <w:rPr>
          <w:b/>
          <w:color w:val="auto"/>
          <w:sz w:val="22"/>
          <w:szCs w:val="22"/>
        </w:rPr>
      </w:pPr>
    </w:p>
    <w:p w14:paraId="46BD7F71" w14:textId="7B7113B1" w:rsidR="00D30F20" w:rsidRPr="00F4017C" w:rsidRDefault="00D30F20" w:rsidP="00F4017C">
      <w:pPr>
        <w:pStyle w:val="ListParagraph"/>
        <w:numPr>
          <w:ilvl w:val="0"/>
          <w:numId w:val="9"/>
        </w:numPr>
        <w:rPr>
          <w:rFonts w:ascii="Arial" w:hAnsi="Arial" w:cs="Arial"/>
        </w:rPr>
      </w:pPr>
      <w:r w:rsidRPr="00F4017C">
        <w:rPr>
          <w:rFonts w:ascii="Arial" w:hAnsi="Arial" w:cs="Arial"/>
        </w:rPr>
        <w:t>The Investigatory Powers Act received Royal Assent at the end of November. The Act maintains councils</w:t>
      </w:r>
      <w:r w:rsidR="00C825F7" w:rsidRPr="00F4017C">
        <w:rPr>
          <w:rFonts w:ascii="Arial" w:hAnsi="Arial" w:cs="Arial"/>
        </w:rPr>
        <w:t>’</w:t>
      </w:r>
      <w:r w:rsidRPr="00F4017C">
        <w:rPr>
          <w:rFonts w:ascii="Arial" w:hAnsi="Arial" w:cs="Arial"/>
        </w:rPr>
        <w:t xml:space="preserve"> right to access communications data, and will enable them to access a slightly expanded set of communications data which is likely to assist in some trading standards investigations. Although the Act does not alter the process councils are required to undertake in order to access data (that is, routing their requests through the National Anti-Fraud Network (NAFN) at Tameside council and gaining Magistrates’ approval of requests), there is a requirement to formalise the ‘collaboration agreements’ under which councils work through NAFN, and an opportunity for councils to develop collaboration agreements to share designated senior officers (who provide internal authorisation of requests to access data). We are working with NAFN and the Home Office to clarify the implications of this and ensure councils are aware of them.</w:t>
      </w:r>
    </w:p>
    <w:p w14:paraId="6ECEDAA7" w14:textId="77777777" w:rsidR="00D30F20" w:rsidRDefault="00D30F20" w:rsidP="00D30F20">
      <w:pPr>
        <w:rPr>
          <w:rFonts w:ascii="Arial" w:hAnsi="Arial" w:cs="Arial"/>
        </w:rPr>
      </w:pPr>
    </w:p>
    <w:p w14:paraId="748D5E78" w14:textId="390EAB1B" w:rsidR="009D19D4" w:rsidRPr="00F4017C" w:rsidRDefault="00D30F20" w:rsidP="00F4017C">
      <w:pPr>
        <w:pStyle w:val="ListParagraph"/>
        <w:numPr>
          <w:ilvl w:val="0"/>
          <w:numId w:val="9"/>
        </w:numPr>
        <w:rPr>
          <w:rFonts w:ascii="Arial" w:hAnsi="Arial" w:cs="Arial"/>
          <w:szCs w:val="22"/>
        </w:rPr>
      </w:pPr>
      <w:r w:rsidRPr="00F4017C">
        <w:rPr>
          <w:rFonts w:ascii="Arial" w:hAnsi="Arial" w:cs="Arial"/>
        </w:rPr>
        <w:t>Since the Act was passed, the Government has lost a judicial review relating to the legality of the Data Retention and Investigatory Powers Act. A European Court of Justice (ECJ) ruling shortly before Christmas will now need to be interpreted by the Court of Appeal, and it remains to be seen what the implications may be for the new Act, as well as for previous use of communications data.</w:t>
      </w:r>
    </w:p>
    <w:p w14:paraId="4CC97F2A" w14:textId="062D9D2E" w:rsidR="00734DE1" w:rsidRPr="00197A8A" w:rsidRDefault="00734DE1" w:rsidP="008D1401">
      <w:pPr>
        <w:rPr>
          <w:rFonts w:ascii="Arial" w:hAnsi="Arial" w:cs="Arial"/>
          <w:szCs w:val="22"/>
        </w:rPr>
      </w:pPr>
    </w:p>
    <w:p w14:paraId="0B242F0C" w14:textId="516B7C43" w:rsidR="00734DE1" w:rsidRPr="00197A8A" w:rsidRDefault="00734DE1" w:rsidP="008D1401">
      <w:pPr>
        <w:rPr>
          <w:rFonts w:ascii="Arial" w:hAnsi="Arial" w:cs="Arial"/>
          <w:b/>
          <w:szCs w:val="22"/>
        </w:rPr>
      </w:pPr>
      <w:r w:rsidRPr="00197A8A">
        <w:rPr>
          <w:rFonts w:ascii="Arial" w:hAnsi="Arial" w:cs="Arial"/>
          <w:b/>
          <w:szCs w:val="22"/>
        </w:rPr>
        <w:t>Medical examiners</w:t>
      </w:r>
    </w:p>
    <w:p w14:paraId="382CF6C6" w14:textId="77777777" w:rsidR="00734DE1" w:rsidRPr="00197A8A" w:rsidRDefault="00734DE1" w:rsidP="00734DE1">
      <w:pPr>
        <w:rPr>
          <w:rFonts w:ascii="Arial" w:hAnsi="Arial" w:cs="Arial"/>
          <w:b/>
          <w:szCs w:val="22"/>
        </w:rPr>
      </w:pPr>
    </w:p>
    <w:p w14:paraId="423E32BF" w14:textId="11EE5395" w:rsidR="00A10790" w:rsidRPr="00197A8A" w:rsidRDefault="00A10790" w:rsidP="00F4017C">
      <w:pPr>
        <w:pStyle w:val="Default"/>
        <w:numPr>
          <w:ilvl w:val="0"/>
          <w:numId w:val="9"/>
        </w:numPr>
        <w:rPr>
          <w:sz w:val="22"/>
          <w:szCs w:val="22"/>
        </w:rPr>
      </w:pPr>
      <w:r w:rsidRPr="00197A8A">
        <w:rPr>
          <w:sz w:val="22"/>
          <w:szCs w:val="22"/>
        </w:rPr>
        <w:t>LGA officers continue to engage with the Department of Health</w:t>
      </w:r>
      <w:r w:rsidR="00C825F7">
        <w:rPr>
          <w:sz w:val="22"/>
          <w:szCs w:val="22"/>
        </w:rPr>
        <w:t xml:space="preserve"> (DH)</w:t>
      </w:r>
      <w:r w:rsidRPr="00197A8A">
        <w:rPr>
          <w:sz w:val="22"/>
          <w:szCs w:val="22"/>
        </w:rPr>
        <w:t xml:space="preserve"> and others around implementation of the new medical examiner service, including through officer representation on the DH Strategic Programme Board. DH has agreed to hold more detailed discussions with councils to think through local implementation, including costs, in more detail; we expect that workshops to explore these issues will be scheduled for January or February.</w:t>
      </w:r>
    </w:p>
    <w:p w14:paraId="672D9D4E" w14:textId="77777777" w:rsidR="00A10790" w:rsidRPr="00197A8A" w:rsidRDefault="00A10790" w:rsidP="00A10790">
      <w:pPr>
        <w:pStyle w:val="Default"/>
        <w:rPr>
          <w:sz w:val="22"/>
          <w:szCs w:val="22"/>
        </w:rPr>
      </w:pPr>
    </w:p>
    <w:p w14:paraId="5BF8A3F5" w14:textId="12DF7C09" w:rsidR="00A10790" w:rsidRPr="00197A8A" w:rsidRDefault="00A10790" w:rsidP="00F4017C">
      <w:pPr>
        <w:pStyle w:val="Default"/>
        <w:numPr>
          <w:ilvl w:val="0"/>
          <w:numId w:val="9"/>
        </w:numPr>
        <w:rPr>
          <w:sz w:val="22"/>
          <w:szCs w:val="22"/>
        </w:rPr>
      </w:pPr>
      <w:r w:rsidRPr="00197A8A">
        <w:rPr>
          <w:sz w:val="22"/>
          <w:szCs w:val="22"/>
        </w:rPr>
        <w:t xml:space="preserve">We have received a reply from Lord Prior of Brampton, </w:t>
      </w:r>
      <w:r w:rsidR="00C825F7">
        <w:rPr>
          <w:sz w:val="22"/>
          <w:szCs w:val="22"/>
        </w:rPr>
        <w:t xml:space="preserve">former </w:t>
      </w:r>
      <w:r w:rsidRPr="00197A8A">
        <w:rPr>
          <w:sz w:val="22"/>
          <w:szCs w:val="22"/>
        </w:rPr>
        <w:t xml:space="preserve">Parliamentary Under Secretary of State for Health, to our joint letter with SOLACE in which we outlined the LGA’s key concerns about the reforms; we will be looking to schedule a meeting with the Minister to discuss these issues in more detail. </w:t>
      </w:r>
    </w:p>
    <w:p w14:paraId="6CB6DA0C" w14:textId="77777777" w:rsidR="00A10790" w:rsidRPr="00197A8A" w:rsidRDefault="00A10790" w:rsidP="00A10790">
      <w:pPr>
        <w:pStyle w:val="Default"/>
        <w:rPr>
          <w:sz w:val="22"/>
          <w:szCs w:val="22"/>
        </w:rPr>
      </w:pPr>
    </w:p>
    <w:p w14:paraId="370E3B06" w14:textId="522CD190" w:rsidR="00734DE1" w:rsidRPr="00F4017C" w:rsidRDefault="00A10790" w:rsidP="00F4017C">
      <w:pPr>
        <w:pStyle w:val="ListParagraph"/>
        <w:numPr>
          <w:ilvl w:val="0"/>
          <w:numId w:val="9"/>
        </w:numPr>
        <w:rPr>
          <w:rFonts w:ascii="Arial" w:hAnsi="Arial" w:cs="Arial"/>
          <w:szCs w:val="22"/>
        </w:rPr>
      </w:pPr>
      <w:r w:rsidRPr="00F4017C">
        <w:rPr>
          <w:rFonts w:ascii="Arial" w:hAnsi="Arial" w:cs="Arial"/>
          <w:szCs w:val="22"/>
        </w:rPr>
        <w:t>Sessions on the introduction of the service were held as part of the LGA’s Deaths, Funerals and Coroners conference in December.</w:t>
      </w:r>
    </w:p>
    <w:p w14:paraId="72070C35" w14:textId="77777777" w:rsidR="00734DE1" w:rsidRPr="00197A8A" w:rsidRDefault="00734DE1" w:rsidP="00734DE1">
      <w:pPr>
        <w:rPr>
          <w:rFonts w:ascii="Arial" w:hAnsi="Arial" w:cs="Arial"/>
          <w:b/>
          <w:szCs w:val="22"/>
        </w:rPr>
      </w:pPr>
    </w:p>
    <w:p w14:paraId="4D84FA1F" w14:textId="198D2D90" w:rsidR="00734DE1" w:rsidRPr="00197A8A" w:rsidRDefault="00734DE1" w:rsidP="00734DE1">
      <w:pPr>
        <w:rPr>
          <w:rFonts w:ascii="Arial" w:hAnsi="Arial" w:cs="Arial"/>
          <w:b/>
          <w:szCs w:val="22"/>
        </w:rPr>
      </w:pPr>
      <w:r w:rsidRPr="00197A8A">
        <w:rPr>
          <w:rFonts w:ascii="Arial" w:hAnsi="Arial" w:cs="Arial"/>
          <w:b/>
          <w:szCs w:val="22"/>
        </w:rPr>
        <w:t>Water safety campaign</w:t>
      </w:r>
    </w:p>
    <w:p w14:paraId="017C5A2C" w14:textId="77777777" w:rsidR="00734DE1" w:rsidRPr="00197A8A" w:rsidRDefault="00734DE1" w:rsidP="00734DE1">
      <w:pPr>
        <w:rPr>
          <w:rFonts w:ascii="Arial" w:hAnsi="Arial" w:cs="Arial"/>
          <w:b/>
          <w:szCs w:val="22"/>
        </w:rPr>
      </w:pPr>
    </w:p>
    <w:p w14:paraId="38D69E2C" w14:textId="38E365B8" w:rsidR="00734DE1" w:rsidRPr="00F4017C" w:rsidRDefault="007576BE" w:rsidP="00F4017C">
      <w:pPr>
        <w:pStyle w:val="ListParagraph"/>
        <w:numPr>
          <w:ilvl w:val="0"/>
          <w:numId w:val="9"/>
        </w:numPr>
        <w:rPr>
          <w:rFonts w:ascii="Arial" w:hAnsi="Arial" w:cs="Arial"/>
          <w:szCs w:val="22"/>
        </w:rPr>
      </w:pPr>
      <w:r w:rsidRPr="00F4017C">
        <w:rPr>
          <w:rFonts w:ascii="Arial" w:hAnsi="Arial" w:cs="Arial"/>
          <w:szCs w:val="22"/>
        </w:rPr>
        <w:t xml:space="preserve">Following the presentation and discussion at the last Board, LGA officers met </w:t>
      </w:r>
      <w:r w:rsidR="004922BE" w:rsidRPr="00F4017C">
        <w:rPr>
          <w:rFonts w:ascii="Arial" w:hAnsi="Arial" w:cs="Arial"/>
          <w:szCs w:val="22"/>
        </w:rPr>
        <w:t>representatives</w:t>
      </w:r>
      <w:r w:rsidRPr="00F4017C">
        <w:rPr>
          <w:rFonts w:ascii="Arial" w:hAnsi="Arial" w:cs="Arial"/>
          <w:szCs w:val="22"/>
        </w:rPr>
        <w:t xml:space="preserve"> of National Water </w:t>
      </w:r>
      <w:r w:rsidR="004922BE" w:rsidRPr="00F4017C">
        <w:rPr>
          <w:rFonts w:ascii="Arial" w:hAnsi="Arial" w:cs="Arial"/>
          <w:szCs w:val="22"/>
        </w:rPr>
        <w:t>Safety</w:t>
      </w:r>
      <w:r w:rsidRPr="00F4017C">
        <w:rPr>
          <w:rFonts w:ascii="Arial" w:hAnsi="Arial" w:cs="Arial"/>
          <w:szCs w:val="22"/>
        </w:rPr>
        <w:t xml:space="preserve"> Forum </w:t>
      </w:r>
      <w:r w:rsidR="00D30F20" w:rsidRPr="00F4017C">
        <w:rPr>
          <w:rFonts w:ascii="Arial" w:hAnsi="Arial" w:cs="Arial"/>
          <w:szCs w:val="22"/>
        </w:rPr>
        <w:t xml:space="preserve">(NWSF) </w:t>
      </w:r>
      <w:r w:rsidRPr="00F4017C">
        <w:rPr>
          <w:rFonts w:ascii="Arial" w:hAnsi="Arial" w:cs="Arial"/>
          <w:szCs w:val="22"/>
        </w:rPr>
        <w:t>partners (Ro</w:t>
      </w:r>
      <w:r w:rsidR="0012302C" w:rsidRPr="00F4017C">
        <w:rPr>
          <w:rFonts w:ascii="Arial" w:hAnsi="Arial" w:cs="Arial"/>
          <w:szCs w:val="22"/>
        </w:rPr>
        <w:t xml:space="preserve">yal </w:t>
      </w:r>
      <w:r w:rsidRPr="00F4017C">
        <w:rPr>
          <w:rFonts w:ascii="Arial" w:hAnsi="Arial" w:cs="Arial"/>
          <w:szCs w:val="22"/>
        </w:rPr>
        <w:t>S</w:t>
      </w:r>
      <w:r w:rsidR="0012302C" w:rsidRPr="00F4017C">
        <w:rPr>
          <w:rFonts w:ascii="Arial" w:hAnsi="Arial" w:cs="Arial"/>
          <w:szCs w:val="22"/>
        </w:rPr>
        <w:t xml:space="preserve">ociety for the </w:t>
      </w:r>
      <w:r w:rsidRPr="00F4017C">
        <w:rPr>
          <w:rFonts w:ascii="Arial" w:hAnsi="Arial" w:cs="Arial"/>
          <w:szCs w:val="22"/>
        </w:rPr>
        <w:t>P</w:t>
      </w:r>
      <w:r w:rsidR="0012302C" w:rsidRPr="00F4017C">
        <w:rPr>
          <w:rFonts w:ascii="Arial" w:hAnsi="Arial" w:cs="Arial"/>
          <w:szCs w:val="22"/>
        </w:rPr>
        <w:t xml:space="preserve">revention of </w:t>
      </w:r>
      <w:r w:rsidRPr="00F4017C">
        <w:rPr>
          <w:rFonts w:ascii="Arial" w:hAnsi="Arial" w:cs="Arial"/>
          <w:szCs w:val="22"/>
        </w:rPr>
        <w:t>A</w:t>
      </w:r>
      <w:r w:rsidR="0012302C" w:rsidRPr="00F4017C">
        <w:rPr>
          <w:rFonts w:ascii="Arial" w:hAnsi="Arial" w:cs="Arial"/>
          <w:szCs w:val="22"/>
        </w:rPr>
        <w:t>ccidents</w:t>
      </w:r>
      <w:r w:rsidRPr="00F4017C">
        <w:rPr>
          <w:rFonts w:ascii="Arial" w:hAnsi="Arial" w:cs="Arial"/>
          <w:szCs w:val="22"/>
        </w:rPr>
        <w:t>, C</w:t>
      </w:r>
      <w:r w:rsidR="0012302C" w:rsidRPr="00F4017C">
        <w:rPr>
          <w:rFonts w:ascii="Arial" w:hAnsi="Arial" w:cs="Arial"/>
          <w:szCs w:val="22"/>
        </w:rPr>
        <w:t xml:space="preserve">hief </w:t>
      </w:r>
      <w:r w:rsidRPr="00F4017C">
        <w:rPr>
          <w:rFonts w:ascii="Arial" w:hAnsi="Arial" w:cs="Arial"/>
          <w:szCs w:val="22"/>
        </w:rPr>
        <w:t>F</w:t>
      </w:r>
      <w:r w:rsidR="0012302C" w:rsidRPr="00F4017C">
        <w:rPr>
          <w:rFonts w:ascii="Arial" w:hAnsi="Arial" w:cs="Arial"/>
          <w:szCs w:val="22"/>
        </w:rPr>
        <w:t xml:space="preserve">ire </w:t>
      </w:r>
      <w:r w:rsidRPr="00F4017C">
        <w:rPr>
          <w:rFonts w:ascii="Arial" w:hAnsi="Arial" w:cs="Arial"/>
          <w:szCs w:val="22"/>
        </w:rPr>
        <w:t>O</w:t>
      </w:r>
      <w:r w:rsidR="0012302C" w:rsidRPr="00F4017C">
        <w:rPr>
          <w:rFonts w:ascii="Arial" w:hAnsi="Arial" w:cs="Arial"/>
          <w:szCs w:val="22"/>
        </w:rPr>
        <w:t xml:space="preserve">fficers </w:t>
      </w:r>
      <w:r w:rsidRPr="00F4017C">
        <w:rPr>
          <w:rFonts w:ascii="Arial" w:hAnsi="Arial" w:cs="Arial"/>
          <w:szCs w:val="22"/>
        </w:rPr>
        <w:t>A</w:t>
      </w:r>
      <w:r w:rsidR="0012302C" w:rsidRPr="00F4017C">
        <w:rPr>
          <w:rFonts w:ascii="Arial" w:hAnsi="Arial" w:cs="Arial"/>
          <w:szCs w:val="22"/>
        </w:rPr>
        <w:t>ssociation</w:t>
      </w:r>
      <w:r w:rsidRPr="00F4017C">
        <w:rPr>
          <w:rFonts w:ascii="Arial" w:hAnsi="Arial" w:cs="Arial"/>
          <w:szCs w:val="22"/>
        </w:rPr>
        <w:t>, R</w:t>
      </w:r>
      <w:r w:rsidR="0012302C" w:rsidRPr="00F4017C">
        <w:rPr>
          <w:rFonts w:ascii="Arial" w:hAnsi="Arial" w:cs="Arial"/>
          <w:szCs w:val="22"/>
        </w:rPr>
        <w:t xml:space="preserve">oyal National Lifeboat </w:t>
      </w:r>
      <w:r w:rsidRPr="00F4017C">
        <w:rPr>
          <w:rFonts w:ascii="Arial" w:hAnsi="Arial" w:cs="Arial"/>
          <w:szCs w:val="22"/>
        </w:rPr>
        <w:t>I</w:t>
      </w:r>
      <w:r w:rsidR="0012302C" w:rsidRPr="00F4017C">
        <w:rPr>
          <w:rFonts w:ascii="Arial" w:hAnsi="Arial" w:cs="Arial"/>
          <w:szCs w:val="22"/>
        </w:rPr>
        <w:t xml:space="preserve">nstitute </w:t>
      </w:r>
      <w:r w:rsidRPr="00F4017C">
        <w:rPr>
          <w:rFonts w:ascii="Arial" w:hAnsi="Arial" w:cs="Arial"/>
          <w:szCs w:val="22"/>
        </w:rPr>
        <w:t xml:space="preserve">and </w:t>
      </w:r>
      <w:r w:rsidR="0012302C" w:rsidRPr="00F4017C">
        <w:rPr>
          <w:rFonts w:ascii="Arial" w:hAnsi="Arial" w:cs="Arial"/>
          <w:szCs w:val="22"/>
        </w:rPr>
        <w:t xml:space="preserve">the </w:t>
      </w:r>
      <w:r w:rsidRPr="00F4017C">
        <w:rPr>
          <w:rFonts w:ascii="Arial" w:hAnsi="Arial" w:cs="Arial"/>
          <w:szCs w:val="22"/>
        </w:rPr>
        <w:t>M</w:t>
      </w:r>
      <w:r w:rsidR="0012302C" w:rsidRPr="00F4017C">
        <w:rPr>
          <w:rFonts w:ascii="Arial" w:hAnsi="Arial" w:cs="Arial"/>
          <w:szCs w:val="22"/>
        </w:rPr>
        <w:t xml:space="preserve">aritime and </w:t>
      </w:r>
      <w:r w:rsidRPr="00F4017C">
        <w:rPr>
          <w:rFonts w:ascii="Arial" w:hAnsi="Arial" w:cs="Arial"/>
          <w:szCs w:val="22"/>
        </w:rPr>
        <w:t>C</w:t>
      </w:r>
      <w:r w:rsidR="0012302C" w:rsidRPr="00F4017C">
        <w:rPr>
          <w:rFonts w:ascii="Arial" w:hAnsi="Arial" w:cs="Arial"/>
          <w:szCs w:val="22"/>
        </w:rPr>
        <w:t xml:space="preserve">oastguard </w:t>
      </w:r>
      <w:r w:rsidRPr="00F4017C">
        <w:rPr>
          <w:rFonts w:ascii="Arial" w:hAnsi="Arial" w:cs="Arial"/>
          <w:szCs w:val="22"/>
        </w:rPr>
        <w:t>A</w:t>
      </w:r>
      <w:r w:rsidR="0012302C" w:rsidRPr="00F4017C">
        <w:rPr>
          <w:rFonts w:ascii="Arial" w:hAnsi="Arial" w:cs="Arial"/>
          <w:szCs w:val="22"/>
        </w:rPr>
        <w:t>gency</w:t>
      </w:r>
      <w:r w:rsidRPr="00F4017C">
        <w:rPr>
          <w:rFonts w:ascii="Arial" w:hAnsi="Arial" w:cs="Arial"/>
          <w:szCs w:val="22"/>
        </w:rPr>
        <w:t xml:space="preserve">) and discussed how best to take this work forward. A meeting will be arranged in the </w:t>
      </w:r>
      <w:r w:rsidR="0012302C" w:rsidRPr="00F4017C">
        <w:rPr>
          <w:rFonts w:ascii="Arial" w:hAnsi="Arial" w:cs="Arial"/>
          <w:szCs w:val="22"/>
        </w:rPr>
        <w:t>early 2017</w:t>
      </w:r>
      <w:r w:rsidRPr="00F4017C">
        <w:rPr>
          <w:rFonts w:ascii="Arial" w:hAnsi="Arial" w:cs="Arial"/>
          <w:szCs w:val="22"/>
        </w:rPr>
        <w:t xml:space="preserve"> to </w:t>
      </w:r>
      <w:r w:rsidR="004922BE" w:rsidRPr="00F4017C">
        <w:rPr>
          <w:rFonts w:ascii="Arial" w:hAnsi="Arial" w:cs="Arial"/>
          <w:szCs w:val="22"/>
        </w:rPr>
        <w:t>discuss</w:t>
      </w:r>
      <w:r w:rsidRPr="00F4017C">
        <w:rPr>
          <w:rFonts w:ascii="Arial" w:hAnsi="Arial" w:cs="Arial"/>
          <w:szCs w:val="22"/>
        </w:rPr>
        <w:t xml:space="preserve"> </w:t>
      </w:r>
      <w:r w:rsidR="00227257" w:rsidRPr="00F4017C">
        <w:rPr>
          <w:rFonts w:ascii="Arial" w:hAnsi="Arial" w:cs="Arial"/>
          <w:szCs w:val="22"/>
        </w:rPr>
        <w:t xml:space="preserve">the </w:t>
      </w:r>
      <w:r w:rsidRPr="00F4017C">
        <w:rPr>
          <w:rFonts w:ascii="Arial" w:hAnsi="Arial" w:cs="Arial"/>
          <w:szCs w:val="22"/>
        </w:rPr>
        <w:t xml:space="preserve">relationship between </w:t>
      </w:r>
      <w:r w:rsidRPr="00F4017C">
        <w:rPr>
          <w:rFonts w:ascii="Arial" w:hAnsi="Arial" w:cs="Arial"/>
          <w:szCs w:val="22"/>
        </w:rPr>
        <w:lastRenderedPageBreak/>
        <w:t xml:space="preserve">the Water </w:t>
      </w:r>
      <w:r w:rsidR="0012302C" w:rsidRPr="00F4017C">
        <w:rPr>
          <w:rFonts w:ascii="Arial" w:hAnsi="Arial" w:cs="Arial"/>
          <w:szCs w:val="22"/>
        </w:rPr>
        <w:t>I</w:t>
      </w:r>
      <w:r w:rsidRPr="00F4017C">
        <w:rPr>
          <w:rFonts w:ascii="Arial" w:hAnsi="Arial" w:cs="Arial"/>
          <w:szCs w:val="22"/>
        </w:rPr>
        <w:t xml:space="preserve">ncident Database and LG Inform, the NWSF and LGA will work together </w:t>
      </w:r>
      <w:r w:rsidR="004922BE" w:rsidRPr="00F4017C">
        <w:rPr>
          <w:rFonts w:ascii="Arial" w:hAnsi="Arial" w:cs="Arial"/>
          <w:szCs w:val="22"/>
        </w:rPr>
        <w:t>around</w:t>
      </w:r>
      <w:r w:rsidRPr="00F4017C">
        <w:rPr>
          <w:rFonts w:ascii="Arial" w:hAnsi="Arial" w:cs="Arial"/>
          <w:szCs w:val="22"/>
        </w:rPr>
        <w:t xml:space="preserve"> the Camber sands inquests and </w:t>
      </w:r>
      <w:r w:rsidR="004922BE" w:rsidRPr="00F4017C">
        <w:rPr>
          <w:rFonts w:ascii="Arial" w:hAnsi="Arial" w:cs="Arial"/>
          <w:szCs w:val="22"/>
        </w:rPr>
        <w:t>discussions</w:t>
      </w:r>
      <w:r w:rsidR="00227257" w:rsidRPr="00F4017C">
        <w:rPr>
          <w:rFonts w:ascii="Arial" w:hAnsi="Arial" w:cs="Arial"/>
          <w:szCs w:val="22"/>
        </w:rPr>
        <w:t xml:space="preserve"> with the H</w:t>
      </w:r>
      <w:r w:rsidRPr="00F4017C">
        <w:rPr>
          <w:rFonts w:ascii="Arial" w:hAnsi="Arial" w:cs="Arial"/>
          <w:szCs w:val="22"/>
        </w:rPr>
        <w:t>ome Office</w:t>
      </w:r>
      <w:r w:rsidR="00227257" w:rsidRPr="00F4017C">
        <w:rPr>
          <w:rFonts w:ascii="Arial" w:hAnsi="Arial" w:cs="Arial"/>
          <w:szCs w:val="22"/>
        </w:rPr>
        <w:t>.</w:t>
      </w:r>
      <w:r w:rsidRPr="00F4017C">
        <w:rPr>
          <w:rFonts w:ascii="Arial" w:hAnsi="Arial" w:cs="Arial"/>
          <w:szCs w:val="22"/>
        </w:rPr>
        <w:t xml:space="preserve"> The NWSF </w:t>
      </w:r>
      <w:r w:rsidR="00227257" w:rsidRPr="00F4017C">
        <w:rPr>
          <w:rFonts w:ascii="Arial" w:hAnsi="Arial" w:cs="Arial"/>
          <w:szCs w:val="22"/>
        </w:rPr>
        <w:t xml:space="preserve">is </w:t>
      </w:r>
      <w:r w:rsidRPr="00F4017C">
        <w:rPr>
          <w:rFonts w:ascii="Arial" w:hAnsi="Arial" w:cs="Arial"/>
          <w:szCs w:val="22"/>
        </w:rPr>
        <w:t>to provide the LGA with ten top tips for councils on water safety</w:t>
      </w:r>
      <w:r w:rsidR="00F2663C" w:rsidRPr="00F4017C">
        <w:rPr>
          <w:rFonts w:ascii="Arial" w:hAnsi="Arial" w:cs="Arial"/>
          <w:szCs w:val="22"/>
        </w:rPr>
        <w:t xml:space="preserve"> for</w:t>
      </w:r>
      <w:r w:rsidRPr="00F4017C">
        <w:rPr>
          <w:rFonts w:ascii="Arial" w:hAnsi="Arial" w:cs="Arial"/>
          <w:szCs w:val="22"/>
        </w:rPr>
        <w:t> the LGA’s website and will put together a proposal on water safety workshops – looking at what would encourage L</w:t>
      </w:r>
      <w:r w:rsidR="0012302C" w:rsidRPr="00F4017C">
        <w:rPr>
          <w:rFonts w:ascii="Arial" w:hAnsi="Arial" w:cs="Arial"/>
          <w:szCs w:val="22"/>
        </w:rPr>
        <w:t xml:space="preserve">ocal </w:t>
      </w:r>
      <w:r w:rsidRPr="00F4017C">
        <w:rPr>
          <w:rFonts w:ascii="Arial" w:hAnsi="Arial" w:cs="Arial"/>
          <w:szCs w:val="22"/>
        </w:rPr>
        <w:t>R</w:t>
      </w:r>
      <w:r w:rsidR="0012302C" w:rsidRPr="00F4017C">
        <w:rPr>
          <w:rFonts w:ascii="Arial" w:hAnsi="Arial" w:cs="Arial"/>
          <w:szCs w:val="22"/>
        </w:rPr>
        <w:t xml:space="preserve">esilience </w:t>
      </w:r>
      <w:r w:rsidRPr="00F4017C">
        <w:rPr>
          <w:rFonts w:ascii="Arial" w:hAnsi="Arial" w:cs="Arial"/>
          <w:szCs w:val="22"/>
        </w:rPr>
        <w:t>F</w:t>
      </w:r>
      <w:r w:rsidR="0012302C" w:rsidRPr="00F4017C">
        <w:rPr>
          <w:rFonts w:ascii="Arial" w:hAnsi="Arial" w:cs="Arial"/>
          <w:szCs w:val="22"/>
        </w:rPr>
        <w:t>orum</w:t>
      </w:r>
      <w:r w:rsidRPr="00F4017C">
        <w:rPr>
          <w:rFonts w:ascii="Arial" w:hAnsi="Arial" w:cs="Arial"/>
          <w:szCs w:val="22"/>
        </w:rPr>
        <w:t xml:space="preserve">s and counties to attend. </w:t>
      </w:r>
      <w:r w:rsidR="004922BE" w:rsidRPr="00F4017C">
        <w:rPr>
          <w:rFonts w:ascii="Arial" w:hAnsi="Arial" w:cs="Arial"/>
          <w:szCs w:val="22"/>
        </w:rPr>
        <w:t>Officers</w:t>
      </w:r>
      <w:r w:rsidRPr="00F4017C">
        <w:rPr>
          <w:rFonts w:ascii="Arial" w:hAnsi="Arial" w:cs="Arial"/>
          <w:szCs w:val="22"/>
        </w:rPr>
        <w:t xml:space="preserve"> have proposed a water safety session for the LGA conference.</w:t>
      </w:r>
    </w:p>
    <w:p w14:paraId="69324A9C" w14:textId="77777777" w:rsidR="004922BE" w:rsidRPr="00197A8A" w:rsidRDefault="004922BE" w:rsidP="004922BE">
      <w:pPr>
        <w:rPr>
          <w:rFonts w:ascii="Arial" w:hAnsi="Arial" w:cs="Arial"/>
          <w:b/>
          <w:szCs w:val="22"/>
        </w:rPr>
      </w:pPr>
    </w:p>
    <w:p w14:paraId="50EAC28D" w14:textId="0BDC92A8" w:rsidR="00734DE1" w:rsidRPr="00197A8A" w:rsidRDefault="00734DE1" w:rsidP="00734DE1">
      <w:pPr>
        <w:rPr>
          <w:rFonts w:ascii="Arial" w:hAnsi="Arial" w:cs="Arial"/>
          <w:b/>
          <w:szCs w:val="22"/>
        </w:rPr>
      </w:pPr>
      <w:r w:rsidRPr="00197A8A">
        <w:rPr>
          <w:rFonts w:ascii="Arial" w:hAnsi="Arial" w:cs="Arial"/>
          <w:b/>
          <w:szCs w:val="22"/>
        </w:rPr>
        <w:t>National Female Genital Mutilation (FGM) Centre</w:t>
      </w:r>
    </w:p>
    <w:p w14:paraId="59367FFE" w14:textId="77777777" w:rsidR="00734DE1" w:rsidRPr="00197A8A" w:rsidRDefault="00734DE1" w:rsidP="00734DE1">
      <w:pPr>
        <w:rPr>
          <w:rFonts w:ascii="Arial" w:hAnsi="Arial" w:cs="Arial"/>
          <w:szCs w:val="22"/>
        </w:rPr>
      </w:pPr>
    </w:p>
    <w:p w14:paraId="7DF83C4B" w14:textId="0BB3A7E9" w:rsidR="00F2663C" w:rsidRPr="00197A8A" w:rsidRDefault="00F2663C" w:rsidP="00F4017C">
      <w:pPr>
        <w:pStyle w:val="gdp"/>
        <w:numPr>
          <w:ilvl w:val="0"/>
          <w:numId w:val="9"/>
        </w:numPr>
        <w:spacing w:before="0" w:beforeAutospacing="0" w:after="0" w:afterAutospacing="0"/>
        <w:rPr>
          <w:rFonts w:ascii="Arial" w:hAnsi="Arial" w:cs="Arial"/>
          <w:sz w:val="22"/>
          <w:szCs w:val="22"/>
        </w:rPr>
      </w:pPr>
      <w:r w:rsidRPr="00197A8A">
        <w:rPr>
          <w:rFonts w:ascii="Arial" w:hAnsi="Arial" w:cs="Arial"/>
          <w:sz w:val="22"/>
          <w:szCs w:val="22"/>
        </w:rPr>
        <w:t>In November</w:t>
      </w:r>
      <w:r w:rsidR="0013626B">
        <w:rPr>
          <w:rFonts w:ascii="Arial" w:hAnsi="Arial" w:cs="Arial"/>
          <w:sz w:val="22"/>
          <w:szCs w:val="22"/>
        </w:rPr>
        <w:t>,</w:t>
      </w:r>
      <w:r w:rsidRPr="00197A8A">
        <w:rPr>
          <w:rFonts w:ascii="Arial" w:hAnsi="Arial" w:cs="Arial"/>
          <w:sz w:val="22"/>
          <w:szCs w:val="22"/>
        </w:rPr>
        <w:t xml:space="preserve"> the National FGM Centre won the Safeguarding Award at the Children and Young People Now Awards. The judges said that the Centre won the award as the “initiative that has made the biggest contribution to prevent and protect children and young people from abuse and neglect”, with one judge saying the centre was “a prime </w:t>
      </w:r>
      <w:r w:rsidR="0013626B">
        <w:rPr>
          <w:rFonts w:ascii="Arial" w:hAnsi="Arial" w:cs="Arial"/>
          <w:sz w:val="22"/>
          <w:szCs w:val="22"/>
        </w:rPr>
        <w:t>example of multi-agency, ground-</w:t>
      </w:r>
      <w:r w:rsidRPr="00197A8A">
        <w:rPr>
          <w:rFonts w:ascii="Arial" w:hAnsi="Arial" w:cs="Arial"/>
          <w:sz w:val="22"/>
          <w:szCs w:val="22"/>
        </w:rPr>
        <w:t>breaking practice”.</w:t>
      </w:r>
    </w:p>
    <w:p w14:paraId="372E0FF8" w14:textId="77777777" w:rsidR="00F2663C" w:rsidRPr="00197A8A" w:rsidRDefault="00F2663C" w:rsidP="00F2663C">
      <w:pPr>
        <w:pStyle w:val="gdp"/>
        <w:spacing w:before="0" w:beforeAutospacing="0" w:after="0" w:afterAutospacing="0"/>
        <w:rPr>
          <w:rFonts w:ascii="Arial" w:hAnsi="Arial" w:cs="Arial"/>
          <w:sz w:val="22"/>
          <w:szCs w:val="22"/>
        </w:rPr>
      </w:pPr>
    </w:p>
    <w:p w14:paraId="7D276758" w14:textId="683AC19F" w:rsidR="00F2663C" w:rsidRPr="00197A8A" w:rsidRDefault="00F2663C" w:rsidP="00F4017C">
      <w:pPr>
        <w:pStyle w:val="gdp"/>
        <w:numPr>
          <w:ilvl w:val="0"/>
          <w:numId w:val="9"/>
        </w:numPr>
        <w:spacing w:before="0" w:beforeAutospacing="0" w:after="0" w:afterAutospacing="0"/>
        <w:rPr>
          <w:rFonts w:ascii="Arial" w:hAnsi="Arial" w:cs="Arial"/>
          <w:sz w:val="22"/>
          <w:szCs w:val="22"/>
        </w:rPr>
      </w:pPr>
      <w:r w:rsidRPr="00197A8A">
        <w:rPr>
          <w:rFonts w:ascii="Arial" w:hAnsi="Arial" w:cs="Arial"/>
          <w:sz w:val="22"/>
          <w:szCs w:val="22"/>
        </w:rPr>
        <w:t xml:space="preserve">Training is available through the Centre and over 900 professionals have been trained through the Centre since November 2015, including staff from social care and health. The aim of the </w:t>
      </w:r>
      <w:hyperlink r:id="rId13" w:history="1">
        <w:r w:rsidRPr="00197A8A">
          <w:rPr>
            <w:rStyle w:val="Hyperlink"/>
            <w:rFonts w:ascii="Arial" w:hAnsi="Arial" w:cs="Arial"/>
            <w:sz w:val="22"/>
            <w:szCs w:val="22"/>
          </w:rPr>
          <w:t>National FGM Centre’s training offers</w:t>
        </w:r>
      </w:hyperlink>
      <w:r w:rsidRPr="00197A8A">
        <w:rPr>
          <w:rFonts w:ascii="Arial" w:hAnsi="Arial" w:cs="Arial"/>
          <w:sz w:val="22"/>
          <w:szCs w:val="22"/>
        </w:rPr>
        <w:t xml:space="preserve"> is to enhance participants’ understanding and skills to act appropriately and confidently to protect and support girls who are at risk or have been subjected to FGM. 100</w:t>
      </w:r>
      <w:r w:rsidR="0013626B">
        <w:rPr>
          <w:rFonts w:ascii="Arial" w:hAnsi="Arial" w:cs="Arial"/>
          <w:sz w:val="22"/>
          <w:szCs w:val="22"/>
        </w:rPr>
        <w:t xml:space="preserve"> per cent</w:t>
      </w:r>
      <w:r w:rsidRPr="00197A8A">
        <w:rPr>
          <w:rFonts w:ascii="Arial" w:hAnsi="Arial" w:cs="Arial"/>
          <w:sz w:val="22"/>
          <w:szCs w:val="22"/>
        </w:rPr>
        <w:t xml:space="preserve"> of delegates who have attended the training would recommend it. </w:t>
      </w:r>
    </w:p>
    <w:p w14:paraId="6BB49B65" w14:textId="77777777" w:rsidR="00F2663C" w:rsidRPr="00197A8A" w:rsidRDefault="00F2663C" w:rsidP="00F2663C">
      <w:pPr>
        <w:pStyle w:val="gdp"/>
        <w:spacing w:before="0" w:beforeAutospacing="0" w:after="0" w:afterAutospacing="0"/>
        <w:rPr>
          <w:rFonts w:ascii="Arial" w:hAnsi="Arial" w:cs="Arial"/>
          <w:sz w:val="22"/>
          <w:szCs w:val="22"/>
        </w:rPr>
      </w:pPr>
    </w:p>
    <w:p w14:paraId="1351C94A" w14:textId="4BA4ADE4" w:rsidR="00734DE1" w:rsidRPr="00F4017C" w:rsidRDefault="00F2663C" w:rsidP="00F4017C">
      <w:pPr>
        <w:pStyle w:val="ListParagraph"/>
        <w:numPr>
          <w:ilvl w:val="0"/>
          <w:numId w:val="9"/>
        </w:numPr>
        <w:rPr>
          <w:rFonts w:ascii="Arial" w:hAnsi="Arial" w:cs="Arial"/>
          <w:szCs w:val="22"/>
        </w:rPr>
      </w:pPr>
      <w:r w:rsidRPr="00F4017C">
        <w:rPr>
          <w:rFonts w:ascii="Arial" w:hAnsi="Arial" w:cs="Arial"/>
          <w:szCs w:val="22"/>
        </w:rPr>
        <w:t>The Centre’s funding is in place until March 2017, and the key issue for the Centre now is sustainability for the future.</w:t>
      </w:r>
    </w:p>
    <w:p w14:paraId="6F8A496F" w14:textId="77777777" w:rsidR="00734DE1" w:rsidRPr="00197A8A" w:rsidRDefault="00734DE1" w:rsidP="00734DE1">
      <w:pPr>
        <w:rPr>
          <w:rFonts w:ascii="Arial" w:hAnsi="Arial" w:cs="Arial"/>
          <w:b/>
          <w:szCs w:val="22"/>
        </w:rPr>
      </w:pPr>
    </w:p>
    <w:p w14:paraId="6FCA11C6" w14:textId="7C1D0F8C" w:rsidR="00734DE1" w:rsidRPr="00197A8A" w:rsidRDefault="00734DE1" w:rsidP="00734DE1">
      <w:pPr>
        <w:rPr>
          <w:rFonts w:ascii="Arial" w:hAnsi="Arial" w:cs="Arial"/>
          <w:b/>
          <w:szCs w:val="22"/>
        </w:rPr>
      </w:pPr>
      <w:r w:rsidRPr="00197A8A">
        <w:rPr>
          <w:rFonts w:ascii="Arial" w:hAnsi="Arial" w:cs="Arial"/>
          <w:b/>
          <w:szCs w:val="22"/>
        </w:rPr>
        <w:t>Domestic abuse announcements</w:t>
      </w:r>
    </w:p>
    <w:p w14:paraId="3618CA13" w14:textId="77777777" w:rsidR="00734DE1" w:rsidRPr="00197A8A" w:rsidRDefault="00734DE1" w:rsidP="00734DE1">
      <w:pPr>
        <w:rPr>
          <w:rFonts w:ascii="Arial" w:hAnsi="Arial" w:cs="Arial"/>
          <w:b/>
          <w:szCs w:val="22"/>
        </w:rPr>
      </w:pPr>
    </w:p>
    <w:p w14:paraId="105DB38C" w14:textId="028D7149" w:rsidR="00A10790" w:rsidRPr="00197A8A" w:rsidRDefault="00A10790" w:rsidP="00F4017C">
      <w:pPr>
        <w:pStyle w:val="Default"/>
        <w:numPr>
          <w:ilvl w:val="0"/>
          <w:numId w:val="9"/>
        </w:numPr>
        <w:rPr>
          <w:sz w:val="22"/>
          <w:szCs w:val="22"/>
        </w:rPr>
      </w:pPr>
      <w:r w:rsidRPr="00197A8A">
        <w:rPr>
          <w:sz w:val="22"/>
          <w:szCs w:val="22"/>
        </w:rPr>
        <w:t xml:space="preserve">The Home Office published a number of items regarding domestic abuse and violence against women and girls (VAWG) in December. This included the </w:t>
      </w:r>
      <w:hyperlink r:id="rId14" w:history="1">
        <w:r w:rsidRPr="00197A8A">
          <w:rPr>
            <w:rStyle w:val="Hyperlink"/>
            <w:sz w:val="22"/>
            <w:szCs w:val="22"/>
          </w:rPr>
          <w:t>National Statement of Expectations</w:t>
        </w:r>
      </w:hyperlink>
      <w:r w:rsidRPr="00197A8A">
        <w:rPr>
          <w:sz w:val="22"/>
          <w:szCs w:val="22"/>
        </w:rPr>
        <w:t xml:space="preserve"> (NSE) for local VAWG provision, which sets out core expectations to ensure that victims get the help they need. The aim is for local services to be victim-centred, strategically commissioned, and include a focus on safeguarding individuals, managing perpetrators and local awareness-raising. A </w:t>
      </w:r>
      <w:hyperlink r:id="rId15" w:history="1">
        <w:r w:rsidRPr="00197A8A">
          <w:rPr>
            <w:rStyle w:val="Hyperlink"/>
            <w:sz w:val="22"/>
            <w:szCs w:val="22"/>
          </w:rPr>
          <w:t>three-year £15m VAWG service transformation fund</w:t>
        </w:r>
      </w:hyperlink>
      <w:r w:rsidRPr="00197A8A">
        <w:rPr>
          <w:sz w:val="22"/>
          <w:szCs w:val="22"/>
        </w:rPr>
        <w:t xml:space="preserve"> for service commissioners to support delivery against the NSE was announced, with grants to be awarded early in financial year 2017/18. New </w:t>
      </w:r>
      <w:hyperlink r:id="rId16" w:history="1">
        <w:r w:rsidRPr="00197A8A">
          <w:rPr>
            <w:rStyle w:val="Hyperlink"/>
            <w:sz w:val="22"/>
            <w:szCs w:val="22"/>
          </w:rPr>
          <w:t>VAWG commissioning guidance</w:t>
        </w:r>
      </w:hyperlink>
      <w:r w:rsidRPr="00197A8A">
        <w:rPr>
          <w:sz w:val="22"/>
          <w:szCs w:val="22"/>
        </w:rPr>
        <w:t xml:space="preserve"> for commissioners and service providers in England was also published to support implementation of the NSE. </w:t>
      </w:r>
    </w:p>
    <w:p w14:paraId="75BDC837" w14:textId="77777777" w:rsidR="00A10790" w:rsidRPr="00197A8A" w:rsidRDefault="00A10790" w:rsidP="00A10790">
      <w:pPr>
        <w:pStyle w:val="Default"/>
        <w:rPr>
          <w:sz w:val="22"/>
          <w:szCs w:val="22"/>
        </w:rPr>
      </w:pPr>
    </w:p>
    <w:p w14:paraId="0CB6D554" w14:textId="1FD21522" w:rsidR="00A10790" w:rsidRPr="00197A8A" w:rsidRDefault="00A10790" w:rsidP="00F4017C">
      <w:pPr>
        <w:pStyle w:val="Default"/>
        <w:numPr>
          <w:ilvl w:val="0"/>
          <w:numId w:val="9"/>
        </w:numPr>
        <w:rPr>
          <w:sz w:val="22"/>
          <w:szCs w:val="22"/>
        </w:rPr>
      </w:pPr>
      <w:r w:rsidRPr="00197A8A">
        <w:rPr>
          <w:sz w:val="22"/>
          <w:szCs w:val="22"/>
        </w:rPr>
        <w:t xml:space="preserve">Revised </w:t>
      </w:r>
      <w:hyperlink r:id="rId17" w:history="1">
        <w:r w:rsidRPr="00197A8A">
          <w:rPr>
            <w:rStyle w:val="Hyperlink"/>
            <w:sz w:val="22"/>
            <w:szCs w:val="22"/>
          </w:rPr>
          <w:t>statutory guidance for undertaking Domestic Homicide Reviews</w:t>
        </w:r>
      </w:hyperlink>
      <w:r w:rsidR="00BC12F9">
        <w:rPr>
          <w:rStyle w:val="Hyperlink"/>
          <w:sz w:val="22"/>
          <w:szCs w:val="22"/>
        </w:rPr>
        <w:t xml:space="preserve"> (DHRs)</w:t>
      </w:r>
      <w:r w:rsidRPr="00197A8A">
        <w:rPr>
          <w:sz w:val="22"/>
          <w:szCs w:val="22"/>
        </w:rPr>
        <w:t xml:space="preserve"> has also been launched. The LGA fed back comments from sector officers on the draft over the summer. The updated guidance was accompanied by a publication analyzing </w:t>
      </w:r>
      <w:hyperlink r:id="rId18" w:history="1">
        <w:r w:rsidRPr="00197A8A">
          <w:rPr>
            <w:rStyle w:val="Hyperlink"/>
            <w:sz w:val="22"/>
            <w:szCs w:val="22"/>
          </w:rPr>
          <w:t>key findings from previous DHRs</w:t>
        </w:r>
      </w:hyperlink>
      <w:r w:rsidRPr="00197A8A">
        <w:rPr>
          <w:sz w:val="22"/>
          <w:szCs w:val="22"/>
        </w:rPr>
        <w:t xml:space="preserve">. </w:t>
      </w:r>
    </w:p>
    <w:p w14:paraId="5D22A7FE" w14:textId="77777777" w:rsidR="00A10790" w:rsidRPr="00197A8A" w:rsidRDefault="00A10790" w:rsidP="00A10790">
      <w:pPr>
        <w:pStyle w:val="Default"/>
        <w:rPr>
          <w:sz w:val="22"/>
          <w:szCs w:val="22"/>
        </w:rPr>
      </w:pPr>
    </w:p>
    <w:p w14:paraId="3CBFBE4A" w14:textId="653BB4EB" w:rsidR="00734DE1" w:rsidRPr="00F4017C" w:rsidRDefault="00A10790" w:rsidP="00F4017C">
      <w:pPr>
        <w:pStyle w:val="ListParagraph"/>
        <w:numPr>
          <w:ilvl w:val="0"/>
          <w:numId w:val="9"/>
        </w:numPr>
        <w:rPr>
          <w:rFonts w:ascii="Arial" w:hAnsi="Arial" w:cs="Arial"/>
          <w:szCs w:val="22"/>
        </w:rPr>
      </w:pPr>
      <w:r w:rsidRPr="00F4017C">
        <w:rPr>
          <w:rFonts w:ascii="Arial" w:hAnsi="Arial" w:cs="Arial"/>
          <w:szCs w:val="22"/>
        </w:rPr>
        <w:t xml:space="preserve">Also published was updated guidance on the </w:t>
      </w:r>
      <w:hyperlink r:id="rId19" w:history="1">
        <w:r w:rsidRPr="00F4017C">
          <w:rPr>
            <w:rStyle w:val="Hyperlink"/>
            <w:rFonts w:ascii="Arial" w:hAnsi="Arial" w:cs="Arial"/>
            <w:szCs w:val="22"/>
          </w:rPr>
          <w:t>Domestic Violence Disclosure Scheme</w:t>
        </w:r>
      </w:hyperlink>
      <w:r w:rsidRPr="00F4017C">
        <w:rPr>
          <w:rFonts w:ascii="Arial" w:hAnsi="Arial" w:cs="Arial"/>
          <w:szCs w:val="22"/>
        </w:rPr>
        <w:t>.</w:t>
      </w:r>
    </w:p>
    <w:p w14:paraId="50B557EE" w14:textId="77777777" w:rsidR="00734DE1" w:rsidRDefault="00734DE1" w:rsidP="00734DE1">
      <w:pPr>
        <w:rPr>
          <w:rFonts w:ascii="Arial" w:hAnsi="Arial" w:cs="Arial"/>
          <w:b/>
          <w:szCs w:val="22"/>
        </w:rPr>
      </w:pPr>
    </w:p>
    <w:p w14:paraId="7BB22AF9" w14:textId="35D7FD9F" w:rsidR="00791D4B" w:rsidRDefault="00791D4B" w:rsidP="00734DE1">
      <w:pPr>
        <w:rPr>
          <w:rFonts w:ascii="Arial" w:hAnsi="Arial" w:cs="Arial"/>
          <w:b/>
          <w:szCs w:val="22"/>
        </w:rPr>
      </w:pPr>
    </w:p>
    <w:p w14:paraId="623C13FF" w14:textId="77777777" w:rsidR="00791D4B" w:rsidRDefault="00791D4B" w:rsidP="00734DE1">
      <w:pPr>
        <w:rPr>
          <w:rFonts w:ascii="Arial" w:hAnsi="Arial" w:cs="Arial"/>
          <w:b/>
          <w:szCs w:val="22"/>
        </w:rPr>
      </w:pPr>
    </w:p>
    <w:p w14:paraId="35FC6B8F" w14:textId="77777777" w:rsidR="00791D4B" w:rsidRPr="00197A8A" w:rsidRDefault="00791D4B" w:rsidP="00734DE1">
      <w:pPr>
        <w:rPr>
          <w:rFonts w:ascii="Arial" w:hAnsi="Arial" w:cs="Arial"/>
          <w:b/>
          <w:szCs w:val="22"/>
        </w:rPr>
      </w:pPr>
    </w:p>
    <w:p w14:paraId="56BD2AA4" w14:textId="3B7BD12D" w:rsidR="00734DE1" w:rsidRPr="00197A8A" w:rsidRDefault="00C41367" w:rsidP="00734DE1">
      <w:pPr>
        <w:rPr>
          <w:rFonts w:ascii="Arial" w:hAnsi="Arial" w:cs="Arial"/>
          <w:b/>
          <w:szCs w:val="22"/>
        </w:rPr>
      </w:pPr>
      <w:r w:rsidRPr="00197A8A">
        <w:rPr>
          <w:rFonts w:ascii="Arial" w:hAnsi="Arial" w:cs="Arial"/>
          <w:b/>
          <w:szCs w:val="22"/>
        </w:rPr>
        <w:lastRenderedPageBreak/>
        <w:t xml:space="preserve">Prevent and </w:t>
      </w:r>
      <w:r w:rsidR="00734DE1" w:rsidRPr="00197A8A">
        <w:rPr>
          <w:rFonts w:ascii="Arial" w:hAnsi="Arial" w:cs="Arial"/>
          <w:b/>
          <w:szCs w:val="22"/>
        </w:rPr>
        <w:t>Counter-</w:t>
      </w:r>
      <w:r w:rsidRPr="00197A8A">
        <w:rPr>
          <w:rFonts w:ascii="Arial" w:hAnsi="Arial" w:cs="Arial"/>
          <w:b/>
          <w:szCs w:val="22"/>
        </w:rPr>
        <w:t>E</w:t>
      </w:r>
      <w:r w:rsidR="00734DE1" w:rsidRPr="00197A8A">
        <w:rPr>
          <w:rFonts w:ascii="Arial" w:hAnsi="Arial" w:cs="Arial"/>
          <w:b/>
          <w:szCs w:val="22"/>
        </w:rPr>
        <w:t>xtremism</w:t>
      </w:r>
    </w:p>
    <w:p w14:paraId="3219C380" w14:textId="77777777" w:rsidR="00734DE1" w:rsidRPr="00197A8A" w:rsidRDefault="00734DE1" w:rsidP="00734DE1">
      <w:pPr>
        <w:rPr>
          <w:rFonts w:ascii="Arial" w:hAnsi="Arial" w:cs="Arial"/>
          <w:b/>
          <w:szCs w:val="22"/>
        </w:rPr>
      </w:pPr>
    </w:p>
    <w:p w14:paraId="01CE54BF" w14:textId="49C5E6B8" w:rsidR="004922BE" w:rsidRDefault="004922BE" w:rsidP="004922BE">
      <w:pPr>
        <w:pStyle w:val="ListParagraph"/>
        <w:numPr>
          <w:ilvl w:val="0"/>
          <w:numId w:val="9"/>
        </w:numPr>
        <w:spacing w:after="160" w:line="252" w:lineRule="auto"/>
        <w:contextualSpacing/>
        <w:rPr>
          <w:rFonts w:ascii="Arial" w:hAnsi="Arial" w:cs="Arial"/>
          <w:szCs w:val="22"/>
        </w:rPr>
      </w:pPr>
      <w:r w:rsidRPr="00F4017C">
        <w:rPr>
          <w:rFonts w:ascii="Arial" w:hAnsi="Arial" w:cs="Arial"/>
          <w:szCs w:val="22"/>
        </w:rPr>
        <w:t>A joint roundtable on counter extremism with t</w:t>
      </w:r>
      <w:r w:rsidR="00BC12F9" w:rsidRPr="00F4017C">
        <w:rPr>
          <w:rFonts w:ascii="Arial" w:hAnsi="Arial" w:cs="Arial"/>
          <w:szCs w:val="22"/>
        </w:rPr>
        <w:t>he Home O</w:t>
      </w:r>
      <w:r w:rsidRPr="00F4017C">
        <w:rPr>
          <w:rFonts w:ascii="Arial" w:hAnsi="Arial" w:cs="Arial"/>
          <w:szCs w:val="22"/>
        </w:rPr>
        <w:t>ffice was held on 14 December, chaired by the Minister</w:t>
      </w:r>
      <w:r w:rsidR="00BC12F9" w:rsidRPr="00F4017C">
        <w:rPr>
          <w:rFonts w:ascii="Arial" w:hAnsi="Arial" w:cs="Arial"/>
          <w:szCs w:val="22"/>
        </w:rPr>
        <w:t>,</w:t>
      </w:r>
      <w:r w:rsidRPr="00F4017C">
        <w:rPr>
          <w:rFonts w:ascii="Arial" w:hAnsi="Arial" w:cs="Arial"/>
          <w:szCs w:val="22"/>
        </w:rPr>
        <w:t xml:space="preserve"> Sarah Newton</w:t>
      </w:r>
      <w:r w:rsidR="00BC12F9" w:rsidRPr="00F4017C">
        <w:rPr>
          <w:rFonts w:ascii="Arial" w:hAnsi="Arial" w:cs="Arial"/>
          <w:szCs w:val="22"/>
        </w:rPr>
        <w:t xml:space="preserve"> MP</w:t>
      </w:r>
      <w:r w:rsidRPr="00F4017C">
        <w:rPr>
          <w:rFonts w:ascii="Arial" w:hAnsi="Arial" w:cs="Arial"/>
          <w:szCs w:val="22"/>
        </w:rPr>
        <w:t>. The following councils were represented: Barking &amp; Dagenham, Bristol, Camden, Islington, Kensington &amp; Chelsea, Lewisham, Luton, Ma</w:t>
      </w:r>
      <w:r w:rsidR="0012302C" w:rsidRPr="00F4017C">
        <w:rPr>
          <w:rFonts w:ascii="Arial" w:hAnsi="Arial" w:cs="Arial"/>
          <w:szCs w:val="22"/>
        </w:rPr>
        <w:t xml:space="preserve">nchester, Portsmouth, Rochdale and </w:t>
      </w:r>
      <w:r w:rsidRPr="00F4017C">
        <w:rPr>
          <w:rFonts w:ascii="Arial" w:hAnsi="Arial" w:cs="Arial"/>
          <w:szCs w:val="22"/>
        </w:rPr>
        <w:t>Tower Hamlets.  Among issues discussed were concerns about right-wing extremism and the need to share good practice. The Special Interest Group on Extremism should help with the latter need when it is f</w:t>
      </w:r>
      <w:r w:rsidR="0012302C" w:rsidRPr="00F4017C">
        <w:rPr>
          <w:rFonts w:ascii="Arial" w:hAnsi="Arial" w:cs="Arial"/>
          <w:szCs w:val="22"/>
        </w:rPr>
        <w:t>ormally launched in early 2017</w:t>
      </w:r>
      <w:r w:rsidRPr="00F4017C">
        <w:rPr>
          <w:rFonts w:ascii="Arial" w:hAnsi="Arial" w:cs="Arial"/>
          <w:szCs w:val="22"/>
        </w:rPr>
        <w:t xml:space="preserve">. The guide associated with it will appear, jointly badged with LGA and the Home Office at the same time. </w:t>
      </w:r>
    </w:p>
    <w:p w14:paraId="49B54286" w14:textId="77777777" w:rsidR="00791D4B" w:rsidRPr="00791D4B" w:rsidRDefault="00791D4B" w:rsidP="00791D4B">
      <w:pPr>
        <w:pStyle w:val="ListParagraph"/>
        <w:spacing w:after="160" w:line="252" w:lineRule="auto"/>
        <w:ind w:left="360"/>
        <w:contextualSpacing/>
        <w:rPr>
          <w:rFonts w:ascii="Arial" w:hAnsi="Arial" w:cs="Arial"/>
          <w:szCs w:val="22"/>
        </w:rPr>
      </w:pPr>
    </w:p>
    <w:p w14:paraId="06B12A58" w14:textId="5BE82920" w:rsidR="004922BE" w:rsidRDefault="00BC12F9" w:rsidP="004922BE">
      <w:pPr>
        <w:pStyle w:val="ListParagraph"/>
        <w:numPr>
          <w:ilvl w:val="0"/>
          <w:numId w:val="9"/>
        </w:numPr>
        <w:spacing w:after="160" w:line="252" w:lineRule="auto"/>
        <w:contextualSpacing/>
        <w:rPr>
          <w:rFonts w:ascii="Arial" w:hAnsi="Arial" w:cs="Arial"/>
          <w:szCs w:val="22"/>
        </w:rPr>
      </w:pPr>
      <w:r w:rsidRPr="00F4017C">
        <w:rPr>
          <w:rFonts w:ascii="Arial" w:hAnsi="Arial" w:cs="Arial"/>
          <w:szCs w:val="22"/>
        </w:rPr>
        <w:t>The C</w:t>
      </w:r>
      <w:r w:rsidR="004922BE" w:rsidRPr="00F4017C">
        <w:rPr>
          <w:rFonts w:ascii="Arial" w:hAnsi="Arial" w:cs="Arial"/>
          <w:szCs w:val="22"/>
        </w:rPr>
        <w:t xml:space="preserve">entre for Public Scrutiny has been commissioned to produce a scrutiny guide for councils around prevent and counter extremism and an LGA Leadership Essentials Course covering both will run at the end of February. Both are intended to support councillors in holding portfolio holders to account on these issues and the guide will specifically contain a set of suggested questions through the scrutiny process. </w:t>
      </w:r>
    </w:p>
    <w:p w14:paraId="70AA9A23" w14:textId="77777777" w:rsidR="00791D4B" w:rsidRPr="00791D4B" w:rsidRDefault="00791D4B" w:rsidP="00791D4B">
      <w:pPr>
        <w:pStyle w:val="ListParagraph"/>
        <w:spacing w:after="160" w:line="252" w:lineRule="auto"/>
        <w:ind w:left="360"/>
        <w:contextualSpacing/>
        <w:rPr>
          <w:rFonts w:ascii="Arial" w:hAnsi="Arial" w:cs="Arial"/>
          <w:szCs w:val="22"/>
        </w:rPr>
      </w:pPr>
    </w:p>
    <w:p w14:paraId="0C0D2196" w14:textId="3513FA8A" w:rsidR="00734DE1" w:rsidRPr="00F4017C" w:rsidRDefault="004922BE" w:rsidP="00F4017C">
      <w:pPr>
        <w:pStyle w:val="ListParagraph"/>
        <w:numPr>
          <w:ilvl w:val="0"/>
          <w:numId w:val="9"/>
        </w:numPr>
        <w:rPr>
          <w:rFonts w:ascii="Arial" w:hAnsi="Arial" w:cs="Arial"/>
          <w:szCs w:val="22"/>
        </w:rPr>
      </w:pPr>
      <w:r w:rsidRPr="00F4017C">
        <w:rPr>
          <w:rFonts w:ascii="Arial" w:hAnsi="Arial" w:cs="Arial"/>
          <w:szCs w:val="22"/>
        </w:rPr>
        <w:t xml:space="preserve">A roundtable for councillors volunteering as Prevent Champions will be held by the Home </w:t>
      </w:r>
      <w:r w:rsidR="00BC12F9" w:rsidRPr="00F4017C">
        <w:rPr>
          <w:rFonts w:ascii="Arial" w:hAnsi="Arial" w:cs="Arial"/>
          <w:szCs w:val="22"/>
        </w:rPr>
        <w:t>O</w:t>
      </w:r>
      <w:r w:rsidRPr="00F4017C">
        <w:rPr>
          <w:rFonts w:ascii="Arial" w:hAnsi="Arial" w:cs="Arial"/>
          <w:szCs w:val="22"/>
        </w:rPr>
        <w:t>ffice on 23 January. We anticipate that members of the Champions Network will be asked to attend future r</w:t>
      </w:r>
      <w:r w:rsidR="00BC12F9" w:rsidRPr="00F4017C">
        <w:rPr>
          <w:rFonts w:ascii="Arial" w:hAnsi="Arial" w:cs="Arial"/>
          <w:szCs w:val="22"/>
        </w:rPr>
        <w:t>egional conferences with other c</w:t>
      </w:r>
      <w:r w:rsidRPr="00F4017C">
        <w:rPr>
          <w:rFonts w:ascii="Arial" w:hAnsi="Arial" w:cs="Arial"/>
          <w:szCs w:val="22"/>
        </w:rPr>
        <w:t>ouncillors to offer advice on their local approaches to Prevent, and to provide mentoring and guidance around the Prevent duty to members seeking individual support. LGA officers will work alongside Home Office colleagues to facilitate this process</w:t>
      </w:r>
    </w:p>
    <w:p w14:paraId="47FF16A5" w14:textId="77777777" w:rsidR="00734DE1" w:rsidRPr="00197A8A" w:rsidRDefault="00734DE1" w:rsidP="00734DE1">
      <w:pPr>
        <w:rPr>
          <w:rFonts w:ascii="Arial" w:hAnsi="Arial" w:cs="Arial"/>
          <w:b/>
          <w:szCs w:val="22"/>
        </w:rPr>
      </w:pPr>
    </w:p>
    <w:p w14:paraId="0FA1035C" w14:textId="49366DB0" w:rsidR="00734DE1" w:rsidRPr="00197A8A" w:rsidRDefault="00CF1242" w:rsidP="00734DE1">
      <w:pPr>
        <w:rPr>
          <w:rFonts w:ascii="Arial" w:hAnsi="Arial" w:cs="Arial"/>
          <w:b/>
          <w:szCs w:val="22"/>
        </w:rPr>
      </w:pPr>
      <w:r w:rsidRPr="00197A8A">
        <w:rPr>
          <w:rFonts w:ascii="Arial" w:hAnsi="Arial" w:cs="Arial"/>
          <w:b/>
          <w:szCs w:val="22"/>
        </w:rPr>
        <w:t xml:space="preserve">Improving the </w:t>
      </w:r>
      <w:r w:rsidR="00A10790" w:rsidRPr="00197A8A">
        <w:rPr>
          <w:rFonts w:ascii="Arial" w:hAnsi="Arial" w:cs="Arial"/>
          <w:b/>
          <w:szCs w:val="22"/>
        </w:rPr>
        <w:t>community safety</w:t>
      </w:r>
      <w:r w:rsidRPr="00197A8A">
        <w:rPr>
          <w:rFonts w:ascii="Arial" w:hAnsi="Arial" w:cs="Arial"/>
          <w:b/>
          <w:szCs w:val="22"/>
        </w:rPr>
        <w:t xml:space="preserve"> response from councils</w:t>
      </w:r>
    </w:p>
    <w:p w14:paraId="2F0A99E5" w14:textId="77777777" w:rsidR="00734DE1" w:rsidRPr="00197A8A" w:rsidRDefault="00734DE1" w:rsidP="00734DE1">
      <w:pPr>
        <w:rPr>
          <w:rFonts w:ascii="Arial" w:hAnsi="Arial" w:cs="Arial"/>
          <w:b/>
          <w:szCs w:val="22"/>
        </w:rPr>
      </w:pPr>
    </w:p>
    <w:p w14:paraId="08367675" w14:textId="235DB9D3" w:rsidR="00A10790" w:rsidRPr="00197A8A" w:rsidRDefault="00A10790" w:rsidP="00F4017C">
      <w:pPr>
        <w:pStyle w:val="Default"/>
        <w:numPr>
          <w:ilvl w:val="0"/>
          <w:numId w:val="9"/>
        </w:numPr>
        <w:rPr>
          <w:sz w:val="22"/>
          <w:szCs w:val="22"/>
        </w:rPr>
      </w:pPr>
      <w:r w:rsidRPr="00197A8A">
        <w:rPr>
          <w:sz w:val="22"/>
          <w:szCs w:val="22"/>
        </w:rPr>
        <w:t xml:space="preserve">The LGA’s research team conducted a survey over the autumn of all community safety partnerships/county strategy groups in England and Wales, to help build a picture of how community safety partnerships are currently resourced, their priorities and challenges, and how the picture has changed over recent years. The </w:t>
      </w:r>
      <w:hyperlink r:id="rId20" w:history="1">
        <w:r w:rsidRPr="00197A8A">
          <w:rPr>
            <w:rStyle w:val="Hyperlink"/>
            <w:sz w:val="22"/>
            <w:szCs w:val="22"/>
          </w:rPr>
          <w:t>survey findings</w:t>
        </w:r>
      </w:hyperlink>
      <w:r w:rsidRPr="00197A8A">
        <w:rPr>
          <w:sz w:val="22"/>
          <w:szCs w:val="22"/>
        </w:rPr>
        <w:t xml:space="preserve"> are available on the LGA website.</w:t>
      </w:r>
    </w:p>
    <w:p w14:paraId="2C6B1735" w14:textId="77777777" w:rsidR="00A10790" w:rsidRPr="00197A8A" w:rsidRDefault="00A10790" w:rsidP="00A10790">
      <w:pPr>
        <w:pStyle w:val="Default"/>
        <w:rPr>
          <w:sz w:val="22"/>
          <w:szCs w:val="22"/>
        </w:rPr>
      </w:pPr>
    </w:p>
    <w:p w14:paraId="60EE91B6" w14:textId="7F30BFA7" w:rsidR="00734DE1" w:rsidRPr="00F4017C" w:rsidRDefault="00A10790" w:rsidP="00F4017C">
      <w:pPr>
        <w:pStyle w:val="ListParagraph"/>
        <w:numPr>
          <w:ilvl w:val="0"/>
          <w:numId w:val="9"/>
        </w:numPr>
        <w:rPr>
          <w:rFonts w:ascii="Arial" w:hAnsi="Arial" w:cs="Arial"/>
          <w:szCs w:val="22"/>
        </w:rPr>
      </w:pPr>
      <w:r w:rsidRPr="00F4017C">
        <w:rPr>
          <w:rFonts w:ascii="Arial" w:hAnsi="Arial" w:cs="Arial"/>
          <w:szCs w:val="22"/>
        </w:rPr>
        <w:t>Two stakeholder workshops were held in November in Birmingham and London to explore some of the emerging themes from this project, informed by the outcomes from the survey and a discussion paper setting out key issues. Further written responses to the discussion paper are expected over the next couple of weeks from other stakeholders unable to attend. The outcomes will be reported at the next Board meeting.</w:t>
      </w:r>
    </w:p>
    <w:p w14:paraId="2CF916AA" w14:textId="77777777" w:rsidR="00734DE1" w:rsidRPr="00197A8A" w:rsidRDefault="00734DE1" w:rsidP="00734DE1">
      <w:pPr>
        <w:rPr>
          <w:rFonts w:ascii="Arial" w:hAnsi="Arial" w:cs="Arial"/>
          <w:b/>
          <w:szCs w:val="22"/>
        </w:rPr>
      </w:pPr>
    </w:p>
    <w:p w14:paraId="61F082E0" w14:textId="400D27CC" w:rsidR="00734DE1" w:rsidRPr="00197A8A" w:rsidRDefault="00CF1242" w:rsidP="00734DE1">
      <w:pPr>
        <w:rPr>
          <w:rFonts w:ascii="Arial" w:hAnsi="Arial" w:cs="Arial"/>
          <w:b/>
          <w:szCs w:val="22"/>
        </w:rPr>
      </w:pPr>
      <w:r w:rsidRPr="00197A8A">
        <w:rPr>
          <w:rFonts w:ascii="Arial" w:hAnsi="Arial" w:cs="Arial"/>
          <w:b/>
          <w:szCs w:val="22"/>
        </w:rPr>
        <w:t>Taxi L</w:t>
      </w:r>
      <w:r w:rsidR="00734DE1" w:rsidRPr="00197A8A">
        <w:rPr>
          <w:rFonts w:ascii="Arial" w:hAnsi="Arial" w:cs="Arial"/>
          <w:b/>
          <w:szCs w:val="22"/>
        </w:rPr>
        <w:t xml:space="preserve">icensing </w:t>
      </w:r>
    </w:p>
    <w:p w14:paraId="62D9BCAA" w14:textId="77777777" w:rsidR="00734DE1" w:rsidRPr="00197A8A" w:rsidRDefault="00734DE1" w:rsidP="00734DE1">
      <w:pPr>
        <w:rPr>
          <w:rFonts w:ascii="Arial" w:hAnsi="Arial" w:cs="Arial"/>
          <w:b/>
          <w:szCs w:val="22"/>
        </w:rPr>
      </w:pPr>
    </w:p>
    <w:p w14:paraId="65C3308C" w14:textId="26D2258C" w:rsidR="00FB19B6" w:rsidRPr="00197A8A" w:rsidRDefault="00FB19B6" w:rsidP="00F4017C">
      <w:pPr>
        <w:pStyle w:val="Default"/>
        <w:numPr>
          <w:ilvl w:val="0"/>
          <w:numId w:val="9"/>
        </w:numPr>
        <w:suppressAutoHyphens w:val="0"/>
        <w:textAlignment w:val="auto"/>
        <w:rPr>
          <w:sz w:val="22"/>
          <w:szCs w:val="22"/>
        </w:rPr>
      </w:pPr>
      <w:r w:rsidRPr="00197A8A">
        <w:rPr>
          <w:sz w:val="22"/>
          <w:szCs w:val="22"/>
        </w:rPr>
        <w:t xml:space="preserve">We held a series of successful events for councils on taxi licensing in November 2016. The events focused on providing support to councils around oversight and scrutiny of licensing, the role of the licensing committee, as well as sharing best practice and tackling specialist issues like preventing child sexual exploitation and supporting disabled access. Another regional event has been planned for 21 February in Preston. </w:t>
      </w:r>
    </w:p>
    <w:p w14:paraId="0C2A4CA5" w14:textId="77777777" w:rsidR="00FB19B6" w:rsidRPr="00197A8A" w:rsidRDefault="00FB19B6" w:rsidP="00FB19B6">
      <w:pPr>
        <w:pStyle w:val="Default"/>
        <w:rPr>
          <w:sz w:val="22"/>
          <w:szCs w:val="22"/>
        </w:rPr>
      </w:pPr>
    </w:p>
    <w:p w14:paraId="4CD157D6" w14:textId="576EF529" w:rsidR="00734DE1" w:rsidRPr="00F4017C" w:rsidRDefault="00A92CA1" w:rsidP="00F4017C">
      <w:pPr>
        <w:pStyle w:val="ListParagraph"/>
        <w:numPr>
          <w:ilvl w:val="0"/>
          <w:numId w:val="9"/>
        </w:numPr>
        <w:rPr>
          <w:rFonts w:ascii="Arial" w:hAnsi="Arial" w:cs="Arial"/>
          <w:szCs w:val="22"/>
        </w:rPr>
      </w:pPr>
      <w:r w:rsidRPr="00F4017C">
        <w:rPr>
          <w:rFonts w:ascii="Arial" w:hAnsi="Arial" w:cs="Arial"/>
          <w:szCs w:val="22"/>
        </w:rPr>
        <w:lastRenderedPageBreak/>
        <w:t>An updated version of our t</w:t>
      </w:r>
      <w:r w:rsidR="00FB19B6" w:rsidRPr="00F4017C">
        <w:rPr>
          <w:rFonts w:ascii="Arial" w:hAnsi="Arial" w:cs="Arial"/>
          <w:szCs w:val="22"/>
        </w:rPr>
        <w:t xml:space="preserve">axi licensing handbook for </w:t>
      </w:r>
      <w:r w:rsidRPr="00F4017C">
        <w:rPr>
          <w:rFonts w:ascii="Arial" w:hAnsi="Arial" w:cs="Arial"/>
          <w:szCs w:val="22"/>
        </w:rPr>
        <w:t>c</w:t>
      </w:r>
      <w:r w:rsidR="00FB19B6" w:rsidRPr="00F4017C">
        <w:rPr>
          <w:rFonts w:ascii="Arial" w:hAnsi="Arial" w:cs="Arial"/>
          <w:szCs w:val="22"/>
        </w:rPr>
        <w:t xml:space="preserve">ouncillors has been published and shared with the </w:t>
      </w:r>
      <w:r w:rsidRPr="00F4017C">
        <w:rPr>
          <w:rFonts w:ascii="Arial" w:hAnsi="Arial" w:cs="Arial"/>
          <w:szCs w:val="22"/>
        </w:rPr>
        <w:t>councillors</w:t>
      </w:r>
      <w:r w:rsidR="00FB19B6" w:rsidRPr="00F4017C">
        <w:rPr>
          <w:rFonts w:ascii="Arial" w:hAnsi="Arial" w:cs="Arial"/>
          <w:szCs w:val="22"/>
        </w:rPr>
        <w:t xml:space="preserve"> and officers who attended regional events as well as our licensing champions. The handbook will be circulated more widely to all </w:t>
      </w:r>
      <w:r w:rsidRPr="00F4017C">
        <w:rPr>
          <w:rFonts w:ascii="Arial" w:hAnsi="Arial" w:cs="Arial"/>
          <w:szCs w:val="22"/>
        </w:rPr>
        <w:t>of our members once it has been</w:t>
      </w:r>
      <w:r w:rsidR="00FB19B6" w:rsidRPr="00F4017C">
        <w:rPr>
          <w:rFonts w:ascii="Arial" w:hAnsi="Arial" w:cs="Arial"/>
          <w:szCs w:val="22"/>
        </w:rPr>
        <w:t> updated to include the Department for Transport’s new statutory best practice guidance</w:t>
      </w:r>
      <w:r w:rsidRPr="00F4017C">
        <w:rPr>
          <w:rFonts w:ascii="Arial" w:hAnsi="Arial" w:cs="Arial"/>
          <w:szCs w:val="22"/>
        </w:rPr>
        <w:t>.</w:t>
      </w:r>
      <w:r w:rsidR="00FB19B6" w:rsidRPr="00F4017C">
        <w:rPr>
          <w:rFonts w:ascii="Arial" w:hAnsi="Arial" w:cs="Arial"/>
          <w:szCs w:val="22"/>
        </w:rPr>
        <w:t xml:space="preserve"> </w:t>
      </w:r>
      <w:r w:rsidRPr="00F4017C">
        <w:rPr>
          <w:rFonts w:ascii="Arial" w:hAnsi="Arial" w:cs="Arial"/>
          <w:szCs w:val="22"/>
        </w:rPr>
        <w:t>W</w:t>
      </w:r>
      <w:r w:rsidR="00FB19B6" w:rsidRPr="00F4017C">
        <w:rPr>
          <w:rFonts w:ascii="Arial" w:hAnsi="Arial" w:cs="Arial"/>
          <w:szCs w:val="22"/>
        </w:rPr>
        <w:t>e are expecting this to be published early this year.</w:t>
      </w:r>
    </w:p>
    <w:p w14:paraId="7D1B1A8F" w14:textId="77777777" w:rsidR="002135F6" w:rsidRDefault="002135F6" w:rsidP="00734DE1">
      <w:pPr>
        <w:rPr>
          <w:rFonts w:ascii="Arial" w:hAnsi="Arial" w:cs="Arial"/>
          <w:b/>
          <w:szCs w:val="22"/>
        </w:rPr>
      </w:pPr>
    </w:p>
    <w:p w14:paraId="53B6CC18" w14:textId="71492A5F" w:rsidR="00734DE1" w:rsidRPr="00197A8A" w:rsidRDefault="00734DE1" w:rsidP="00734DE1">
      <w:pPr>
        <w:rPr>
          <w:rFonts w:ascii="Arial" w:hAnsi="Arial" w:cs="Arial"/>
          <w:b/>
          <w:szCs w:val="22"/>
        </w:rPr>
      </w:pPr>
      <w:r w:rsidRPr="00197A8A">
        <w:rPr>
          <w:rFonts w:ascii="Arial" w:hAnsi="Arial" w:cs="Arial"/>
          <w:b/>
          <w:szCs w:val="22"/>
        </w:rPr>
        <w:t>Dog control measures</w:t>
      </w:r>
      <w:r w:rsidR="00D30F20">
        <w:rPr>
          <w:rFonts w:ascii="Arial" w:hAnsi="Arial" w:cs="Arial"/>
          <w:b/>
          <w:szCs w:val="22"/>
        </w:rPr>
        <w:t>, animal welfare and licensing</w:t>
      </w:r>
    </w:p>
    <w:p w14:paraId="26C0977A" w14:textId="77777777" w:rsidR="00734DE1" w:rsidRPr="00197A8A" w:rsidRDefault="00734DE1" w:rsidP="00734DE1">
      <w:pPr>
        <w:rPr>
          <w:rFonts w:ascii="Arial" w:hAnsi="Arial" w:cs="Arial"/>
          <w:b/>
          <w:szCs w:val="22"/>
        </w:rPr>
      </w:pPr>
    </w:p>
    <w:p w14:paraId="1CFC8F48" w14:textId="21693DE8" w:rsidR="00D30F20" w:rsidRPr="00F4017C" w:rsidRDefault="00D30F20" w:rsidP="00F4017C">
      <w:pPr>
        <w:pStyle w:val="ListParagraph"/>
        <w:numPr>
          <w:ilvl w:val="0"/>
          <w:numId w:val="9"/>
        </w:numPr>
        <w:rPr>
          <w:rFonts w:ascii="Arial" w:hAnsi="Arial" w:cs="Arial"/>
        </w:rPr>
      </w:pPr>
      <w:r w:rsidRPr="00F4017C">
        <w:rPr>
          <w:rFonts w:ascii="Arial" w:hAnsi="Arial" w:cs="Arial"/>
        </w:rPr>
        <w:t>The LGA is assisting the Department for the Environment, Food and Rural Affairs (Defra) with a surve</w:t>
      </w:r>
      <w:r w:rsidR="00A92CA1" w:rsidRPr="00F4017C">
        <w:rPr>
          <w:rFonts w:ascii="Arial" w:hAnsi="Arial" w:cs="Arial"/>
        </w:rPr>
        <w:t>y of councils to assess recent anti-social behaviour (ASB)</w:t>
      </w:r>
      <w:r w:rsidRPr="00F4017C">
        <w:rPr>
          <w:rFonts w:ascii="Arial" w:hAnsi="Arial" w:cs="Arial"/>
        </w:rPr>
        <w:t xml:space="preserve"> measures to control dogs and reduce dog attacks. The Secretary of State has requested the work be undertaken following high profile dog attacks in late summer and autumn. The LGA has been invited t</w:t>
      </w:r>
      <w:r w:rsidR="00A92CA1" w:rsidRPr="00F4017C">
        <w:rPr>
          <w:rFonts w:ascii="Arial" w:hAnsi="Arial" w:cs="Arial"/>
        </w:rPr>
        <w:t>o submit views on the issue by s</w:t>
      </w:r>
      <w:r w:rsidRPr="00F4017C">
        <w:rPr>
          <w:rFonts w:ascii="Arial" w:hAnsi="Arial" w:cs="Arial"/>
        </w:rPr>
        <w:t>pring.</w:t>
      </w:r>
    </w:p>
    <w:p w14:paraId="20118EC1" w14:textId="77777777" w:rsidR="00D30F20" w:rsidRDefault="00D30F20" w:rsidP="00D30F20">
      <w:pPr>
        <w:rPr>
          <w:rFonts w:ascii="Arial" w:hAnsi="Arial" w:cs="Arial"/>
        </w:rPr>
      </w:pPr>
    </w:p>
    <w:p w14:paraId="56B04724" w14:textId="0CBAA808" w:rsidR="00734DE1" w:rsidRPr="00F4017C" w:rsidRDefault="00D30F20" w:rsidP="00F4017C">
      <w:pPr>
        <w:pStyle w:val="ListParagraph"/>
        <w:numPr>
          <w:ilvl w:val="0"/>
          <w:numId w:val="9"/>
        </w:numPr>
        <w:rPr>
          <w:rFonts w:ascii="Arial" w:hAnsi="Arial" w:cs="Arial"/>
          <w:szCs w:val="22"/>
        </w:rPr>
      </w:pPr>
      <w:r w:rsidRPr="00F4017C">
        <w:rPr>
          <w:rFonts w:ascii="Arial" w:hAnsi="Arial" w:cs="Arial"/>
        </w:rPr>
        <w:t>Later this month, Defra are expected to publish proposals for reforming the licensing of animal establishments, following a consultation last year. This follows the publication of an EFRA select committee report into the welfare of domestic animals in November 2016, which called for the current duty on local authorities to become a funded, statutory duty.</w:t>
      </w:r>
    </w:p>
    <w:p w14:paraId="5E26DCA7" w14:textId="77777777" w:rsidR="00734DE1" w:rsidRPr="00197A8A" w:rsidRDefault="00734DE1" w:rsidP="00734DE1">
      <w:pPr>
        <w:rPr>
          <w:rFonts w:ascii="Arial" w:hAnsi="Arial" w:cs="Arial"/>
          <w:b/>
          <w:szCs w:val="22"/>
        </w:rPr>
      </w:pPr>
    </w:p>
    <w:p w14:paraId="6F88F84D" w14:textId="0E5A0D50" w:rsidR="00734DE1" w:rsidRPr="00197A8A" w:rsidRDefault="00734DE1" w:rsidP="00734DE1">
      <w:pPr>
        <w:rPr>
          <w:rFonts w:ascii="Arial" w:hAnsi="Arial" w:cs="Arial"/>
          <w:b/>
          <w:szCs w:val="22"/>
        </w:rPr>
      </w:pPr>
      <w:r w:rsidRPr="00197A8A">
        <w:rPr>
          <w:rFonts w:ascii="Arial" w:hAnsi="Arial" w:cs="Arial"/>
          <w:b/>
          <w:szCs w:val="22"/>
        </w:rPr>
        <w:t xml:space="preserve">Policing and Crime Bill </w:t>
      </w:r>
    </w:p>
    <w:p w14:paraId="74AA9D01" w14:textId="77777777" w:rsidR="00734DE1" w:rsidRPr="00197A8A" w:rsidRDefault="00734DE1" w:rsidP="00734DE1">
      <w:pPr>
        <w:rPr>
          <w:rFonts w:ascii="Arial" w:hAnsi="Arial" w:cs="Arial"/>
          <w:b/>
          <w:szCs w:val="22"/>
        </w:rPr>
      </w:pPr>
    </w:p>
    <w:p w14:paraId="248A324F" w14:textId="2DB2802C" w:rsidR="00A92CA1" w:rsidRPr="00F4017C" w:rsidRDefault="00197A8A" w:rsidP="00F4017C">
      <w:pPr>
        <w:pStyle w:val="ListParagraph"/>
        <w:numPr>
          <w:ilvl w:val="0"/>
          <w:numId w:val="9"/>
        </w:numPr>
        <w:rPr>
          <w:rFonts w:ascii="Arial" w:hAnsi="Arial" w:cs="Arial"/>
          <w:szCs w:val="22"/>
        </w:rPr>
      </w:pPr>
      <w:r w:rsidRPr="00F4017C">
        <w:rPr>
          <w:rFonts w:ascii="Arial" w:hAnsi="Arial" w:cs="Arial"/>
          <w:szCs w:val="22"/>
        </w:rPr>
        <w:t xml:space="preserve">The Policing and Crime Bill completed its passage through the House of Lords at the end of December. During the latter part of the </w:t>
      </w:r>
      <w:r w:rsidR="00A92CA1" w:rsidRPr="00F4017C">
        <w:rPr>
          <w:rFonts w:ascii="Arial" w:hAnsi="Arial" w:cs="Arial"/>
          <w:szCs w:val="22"/>
        </w:rPr>
        <w:t>c</w:t>
      </w:r>
      <w:r w:rsidRPr="00F4017C">
        <w:rPr>
          <w:rFonts w:ascii="Arial" w:hAnsi="Arial" w:cs="Arial"/>
          <w:szCs w:val="22"/>
        </w:rPr>
        <w:t xml:space="preserve">ommittee and </w:t>
      </w:r>
      <w:r w:rsidR="00A92CA1" w:rsidRPr="00F4017C">
        <w:rPr>
          <w:rFonts w:ascii="Arial" w:hAnsi="Arial" w:cs="Arial"/>
          <w:szCs w:val="22"/>
        </w:rPr>
        <w:t>r</w:t>
      </w:r>
      <w:r w:rsidRPr="00F4017C">
        <w:rPr>
          <w:rFonts w:ascii="Arial" w:hAnsi="Arial" w:cs="Arial"/>
          <w:szCs w:val="22"/>
        </w:rPr>
        <w:t xml:space="preserve">eport </w:t>
      </w:r>
      <w:r w:rsidR="00A92CA1" w:rsidRPr="00F4017C">
        <w:rPr>
          <w:rFonts w:ascii="Arial" w:hAnsi="Arial" w:cs="Arial"/>
          <w:szCs w:val="22"/>
        </w:rPr>
        <w:t>s</w:t>
      </w:r>
      <w:r w:rsidRPr="00F4017C">
        <w:rPr>
          <w:rFonts w:ascii="Arial" w:hAnsi="Arial" w:cs="Arial"/>
          <w:szCs w:val="22"/>
        </w:rPr>
        <w:t>tages</w:t>
      </w:r>
      <w:r w:rsidR="00A92CA1" w:rsidRPr="00F4017C">
        <w:rPr>
          <w:rFonts w:ascii="Arial" w:hAnsi="Arial" w:cs="Arial"/>
          <w:szCs w:val="22"/>
        </w:rPr>
        <w:t>,</w:t>
      </w:r>
      <w:r w:rsidRPr="00F4017C">
        <w:rPr>
          <w:rFonts w:ascii="Arial" w:hAnsi="Arial" w:cs="Arial"/>
          <w:szCs w:val="22"/>
        </w:rPr>
        <w:t xml:space="preserve"> a number of amendments were made to the Bill in line with established LGA lobbying objectives. The government introduced amendments to the Licensing Act 2003 which will allow councils to publish cumulative impact assessments and have regard to them when setting their licensing policies, and also introduce greater flexibility in the use of the late night levy so that it can be used in part of the council’s area rather than across the whole of it. The government also amended the provisions about transfer of fire governance from fire and rescu</w:t>
      </w:r>
      <w:r w:rsidR="00A92CA1" w:rsidRPr="00F4017C">
        <w:rPr>
          <w:rFonts w:ascii="Arial" w:hAnsi="Arial" w:cs="Arial"/>
          <w:szCs w:val="22"/>
        </w:rPr>
        <w:t>e authorities to Police and Cr</w:t>
      </w:r>
      <w:r w:rsidRPr="00F4017C">
        <w:rPr>
          <w:rFonts w:ascii="Arial" w:hAnsi="Arial" w:cs="Arial"/>
          <w:szCs w:val="22"/>
        </w:rPr>
        <w:t xml:space="preserve">ime </w:t>
      </w:r>
      <w:r w:rsidR="00A92CA1" w:rsidRPr="00F4017C">
        <w:rPr>
          <w:rFonts w:ascii="Arial" w:hAnsi="Arial" w:cs="Arial"/>
          <w:szCs w:val="22"/>
        </w:rPr>
        <w:t>Commissioners (PCCs)</w:t>
      </w:r>
      <w:r w:rsidRPr="00F4017C">
        <w:rPr>
          <w:rFonts w:ascii="Arial" w:hAnsi="Arial" w:cs="Arial"/>
          <w:szCs w:val="22"/>
        </w:rPr>
        <w:t xml:space="preserve"> so that local residents have to be consulted before any change in governance. </w:t>
      </w:r>
    </w:p>
    <w:p w14:paraId="20490CF7" w14:textId="77777777" w:rsidR="00A92CA1" w:rsidRDefault="00A92CA1" w:rsidP="00734DE1">
      <w:pPr>
        <w:rPr>
          <w:rFonts w:ascii="Arial" w:hAnsi="Arial" w:cs="Arial"/>
          <w:szCs w:val="22"/>
        </w:rPr>
      </w:pPr>
    </w:p>
    <w:p w14:paraId="0278811F" w14:textId="4D8EE34C" w:rsidR="00734DE1" w:rsidRPr="00F4017C" w:rsidRDefault="00197A8A" w:rsidP="00F4017C">
      <w:pPr>
        <w:pStyle w:val="ListParagraph"/>
        <w:numPr>
          <w:ilvl w:val="0"/>
          <w:numId w:val="9"/>
        </w:numPr>
        <w:rPr>
          <w:rFonts w:ascii="Arial" w:hAnsi="Arial" w:cs="Arial"/>
          <w:szCs w:val="22"/>
        </w:rPr>
      </w:pPr>
      <w:r w:rsidRPr="00F4017C">
        <w:rPr>
          <w:rFonts w:ascii="Arial" w:hAnsi="Arial" w:cs="Arial"/>
          <w:szCs w:val="22"/>
        </w:rPr>
        <w:t>An amendment from Baroness Finlay, a crossbencher, to the Coroners and Justice Act 2009 which was agreed by the government</w:t>
      </w:r>
      <w:r w:rsidR="00A92CA1" w:rsidRPr="00F4017C">
        <w:rPr>
          <w:rFonts w:ascii="Arial" w:hAnsi="Arial" w:cs="Arial"/>
          <w:szCs w:val="22"/>
        </w:rPr>
        <w:t>,</w:t>
      </w:r>
      <w:r w:rsidRPr="00F4017C">
        <w:rPr>
          <w:rFonts w:ascii="Arial" w:hAnsi="Arial" w:cs="Arial"/>
          <w:szCs w:val="22"/>
        </w:rPr>
        <w:t xml:space="preserve"> will reduce the cost of deprivation of liberty safeguards to councils. Coroners will no longer have to conduct inquests where the deceased had been deprived of their liberty due to lack of mental capacity under the Mental Capacity Act. In our </w:t>
      </w:r>
      <w:hyperlink r:id="rId21" w:history="1">
        <w:r w:rsidRPr="00F4017C">
          <w:rPr>
            <w:rStyle w:val="Hyperlink"/>
            <w:rFonts w:ascii="Arial" w:hAnsi="Arial" w:cs="Arial"/>
            <w:szCs w:val="22"/>
          </w:rPr>
          <w:t>briefings</w:t>
        </w:r>
      </w:hyperlink>
      <w:r w:rsidRPr="00F4017C">
        <w:rPr>
          <w:rFonts w:ascii="Arial" w:hAnsi="Arial" w:cs="Arial"/>
          <w:szCs w:val="22"/>
        </w:rPr>
        <w:t xml:space="preserve"> we also supported the introduction of a public health objective into the licensing process and limits on the availability and use of gaming machines. The amendments made in the House of Lords will be considered by the House of Commons from 10 January and Royal Assent is expected shortly afterwards.</w:t>
      </w:r>
    </w:p>
    <w:p w14:paraId="3DFB4D6F" w14:textId="77777777" w:rsidR="006208B1" w:rsidRPr="00197A8A" w:rsidRDefault="006208B1" w:rsidP="00734DE1">
      <w:pPr>
        <w:rPr>
          <w:rFonts w:ascii="Arial" w:hAnsi="Arial" w:cs="Arial"/>
          <w:b/>
          <w:szCs w:val="22"/>
        </w:rPr>
      </w:pPr>
    </w:p>
    <w:p w14:paraId="2E1ABA98" w14:textId="6049EF3C" w:rsidR="00734DE1" w:rsidRPr="00197A8A" w:rsidRDefault="00F2663C" w:rsidP="00734DE1">
      <w:pPr>
        <w:rPr>
          <w:rFonts w:ascii="Arial" w:hAnsi="Arial" w:cs="Arial"/>
          <w:b/>
          <w:szCs w:val="22"/>
        </w:rPr>
      </w:pPr>
      <w:r w:rsidRPr="00197A8A">
        <w:rPr>
          <w:rFonts w:ascii="Arial" w:hAnsi="Arial" w:cs="Arial"/>
          <w:b/>
          <w:szCs w:val="22"/>
        </w:rPr>
        <w:t>Death, Funerals and Coroners Conference</w:t>
      </w:r>
    </w:p>
    <w:p w14:paraId="52752DD0" w14:textId="77777777" w:rsidR="00734DE1" w:rsidRPr="00197A8A" w:rsidRDefault="00734DE1" w:rsidP="00734DE1">
      <w:pPr>
        <w:rPr>
          <w:rFonts w:ascii="Arial" w:hAnsi="Arial" w:cs="Arial"/>
          <w:b/>
          <w:szCs w:val="22"/>
        </w:rPr>
      </w:pPr>
    </w:p>
    <w:p w14:paraId="567BC24E" w14:textId="0FC297EB" w:rsidR="00734DE1" w:rsidRPr="00F4017C" w:rsidRDefault="00F2663C" w:rsidP="00F4017C">
      <w:pPr>
        <w:pStyle w:val="ListParagraph"/>
        <w:numPr>
          <w:ilvl w:val="0"/>
          <w:numId w:val="9"/>
        </w:numPr>
        <w:rPr>
          <w:rFonts w:ascii="Arial" w:hAnsi="Arial" w:cs="Arial"/>
          <w:szCs w:val="22"/>
        </w:rPr>
      </w:pPr>
      <w:r w:rsidRPr="00F4017C">
        <w:rPr>
          <w:rFonts w:ascii="Arial" w:hAnsi="Arial" w:cs="Arial"/>
          <w:szCs w:val="22"/>
        </w:rPr>
        <w:t>On 1 December the LGA held a Deaths, Funerals and Coroners Conference. The conferenc</w:t>
      </w:r>
      <w:r w:rsidR="00E43E1C" w:rsidRPr="00F4017C">
        <w:rPr>
          <w:rFonts w:ascii="Arial" w:hAnsi="Arial" w:cs="Arial"/>
          <w:szCs w:val="22"/>
        </w:rPr>
        <w:t>e was well received, with an 84 per cent</w:t>
      </w:r>
      <w:r w:rsidRPr="00F4017C">
        <w:rPr>
          <w:rFonts w:ascii="Arial" w:hAnsi="Arial" w:cs="Arial"/>
          <w:szCs w:val="22"/>
        </w:rPr>
        <w:t xml:space="preserve"> satisfaction rate with the conference. C</w:t>
      </w:r>
      <w:r w:rsidR="00E43E1C" w:rsidRPr="00F4017C">
        <w:rPr>
          <w:rFonts w:ascii="Arial" w:hAnsi="Arial" w:cs="Arial"/>
          <w:szCs w:val="22"/>
        </w:rPr>
        <w:t>ouncillor Morris Bright</w:t>
      </w:r>
      <w:r w:rsidRPr="00F4017C">
        <w:rPr>
          <w:rFonts w:ascii="Arial" w:hAnsi="Arial" w:cs="Arial"/>
          <w:szCs w:val="22"/>
        </w:rPr>
        <w:t xml:space="preserve"> chaired the conference. The programme covered a wide range of issues including funeral poverty, the implementation of the medical examiners service, </w:t>
      </w:r>
      <w:r w:rsidRPr="00F4017C">
        <w:rPr>
          <w:rFonts w:ascii="Arial" w:hAnsi="Arial" w:cs="Arial"/>
          <w:szCs w:val="22"/>
        </w:rPr>
        <w:lastRenderedPageBreak/>
        <w:t>the future of the services, pathology and commercialisation. C</w:t>
      </w:r>
      <w:r w:rsidR="00E43E1C" w:rsidRPr="00F4017C">
        <w:rPr>
          <w:rFonts w:ascii="Arial" w:hAnsi="Arial" w:cs="Arial"/>
          <w:szCs w:val="22"/>
        </w:rPr>
        <w:t>ouncillor</w:t>
      </w:r>
      <w:r w:rsidRPr="00F4017C">
        <w:rPr>
          <w:rFonts w:ascii="Arial" w:hAnsi="Arial" w:cs="Arial"/>
          <w:szCs w:val="22"/>
        </w:rPr>
        <w:t xml:space="preserve"> Ian Gillies, SSCB Bereavement Services Champion, provided the opening address and outlined the work of the LGA on these issues. The conference welcomed approximately 60 attendees from coroners, cremation and burial services.</w:t>
      </w:r>
    </w:p>
    <w:p w14:paraId="0B19CF7C" w14:textId="77777777" w:rsidR="00734DE1" w:rsidRPr="00197A8A" w:rsidRDefault="00734DE1" w:rsidP="00734DE1">
      <w:pPr>
        <w:rPr>
          <w:rFonts w:ascii="Arial" w:hAnsi="Arial" w:cs="Arial"/>
          <w:b/>
          <w:szCs w:val="22"/>
        </w:rPr>
      </w:pPr>
      <w:bookmarkStart w:id="1" w:name="_GoBack"/>
      <w:bookmarkEnd w:id="1"/>
    </w:p>
    <w:p w14:paraId="77A4B9F4" w14:textId="7376C891" w:rsidR="00734DE1" w:rsidRPr="00197A8A" w:rsidRDefault="00734DE1" w:rsidP="00734DE1">
      <w:pPr>
        <w:rPr>
          <w:rFonts w:ascii="Arial" w:hAnsi="Arial" w:cs="Arial"/>
          <w:b/>
          <w:szCs w:val="22"/>
        </w:rPr>
      </w:pPr>
      <w:r w:rsidRPr="00197A8A">
        <w:rPr>
          <w:rFonts w:ascii="Arial" w:hAnsi="Arial" w:cs="Arial"/>
          <w:b/>
          <w:szCs w:val="22"/>
        </w:rPr>
        <w:t>Brexit</w:t>
      </w:r>
    </w:p>
    <w:p w14:paraId="057EB1D7" w14:textId="77777777" w:rsidR="00734DE1" w:rsidRPr="00197A8A" w:rsidRDefault="00734DE1" w:rsidP="00734DE1">
      <w:pPr>
        <w:rPr>
          <w:rFonts w:ascii="Arial" w:hAnsi="Arial" w:cs="Arial"/>
          <w:b/>
          <w:szCs w:val="22"/>
        </w:rPr>
      </w:pPr>
    </w:p>
    <w:p w14:paraId="0F25EAAA" w14:textId="0ABFA08C" w:rsidR="00734DE1" w:rsidRPr="00F4017C" w:rsidRDefault="00197A8A" w:rsidP="00F4017C">
      <w:pPr>
        <w:pStyle w:val="ListParagraph"/>
        <w:numPr>
          <w:ilvl w:val="0"/>
          <w:numId w:val="9"/>
        </w:numPr>
        <w:rPr>
          <w:rFonts w:ascii="Arial" w:hAnsi="Arial" w:cs="Arial"/>
          <w:szCs w:val="22"/>
        </w:rPr>
      </w:pPr>
      <w:r w:rsidRPr="00F4017C">
        <w:rPr>
          <w:rFonts w:ascii="Arial" w:hAnsi="Arial" w:cs="Arial"/>
          <w:szCs w:val="22"/>
        </w:rPr>
        <w:t xml:space="preserve">Following the discussions at the last two Board meetings on the implications for the Board’s work on the decision to leave the European Union, we have been talking to Cornwall Council about how they could assist the LGA work through the technical details of EU regulations, decisions and directives and assess the scope for reducing or refining regulations. This work should be assisted by the LGA’s intention to make the list of EU legislation applying to councils available relatively soon. </w:t>
      </w:r>
    </w:p>
    <w:p w14:paraId="7120A3CA" w14:textId="77777777" w:rsidR="00734DE1" w:rsidRDefault="00734DE1" w:rsidP="00734DE1">
      <w:pPr>
        <w:rPr>
          <w:rFonts w:ascii="Arial" w:hAnsi="Arial" w:cs="Arial"/>
          <w:b/>
          <w:szCs w:val="22"/>
        </w:rPr>
      </w:pPr>
    </w:p>
    <w:p w14:paraId="24252267" w14:textId="07AE3BCB" w:rsidR="00734DE1" w:rsidRDefault="00D30F20" w:rsidP="00734DE1">
      <w:pPr>
        <w:rPr>
          <w:rFonts w:ascii="Arial" w:hAnsi="Arial" w:cs="Arial"/>
          <w:b/>
          <w:bCs/>
        </w:rPr>
      </w:pPr>
      <w:r>
        <w:rPr>
          <w:rFonts w:ascii="Arial" w:hAnsi="Arial" w:cs="Arial"/>
          <w:b/>
          <w:bCs/>
        </w:rPr>
        <w:t>European Court of Justice (ECJ) ruling in Hemming licensing fees case</w:t>
      </w:r>
    </w:p>
    <w:p w14:paraId="5109EAB0" w14:textId="77777777" w:rsidR="00D30F20" w:rsidRDefault="00D30F20" w:rsidP="00734DE1">
      <w:pPr>
        <w:rPr>
          <w:rFonts w:ascii="Arial" w:hAnsi="Arial" w:cs="Arial"/>
          <w:b/>
          <w:bCs/>
        </w:rPr>
      </w:pPr>
    </w:p>
    <w:p w14:paraId="0D71FC24" w14:textId="53BF8A69" w:rsidR="00D30F20" w:rsidRPr="00F4017C" w:rsidRDefault="00D30F20" w:rsidP="00F4017C">
      <w:pPr>
        <w:pStyle w:val="ListParagraph"/>
        <w:numPr>
          <w:ilvl w:val="0"/>
          <w:numId w:val="9"/>
        </w:numPr>
        <w:rPr>
          <w:rFonts w:ascii="Arial" w:hAnsi="Arial" w:cs="Arial"/>
          <w:szCs w:val="22"/>
        </w:rPr>
      </w:pPr>
      <w:r w:rsidRPr="00F4017C">
        <w:rPr>
          <w:rFonts w:ascii="Arial" w:hAnsi="Arial" w:cs="Arial"/>
          <w:szCs w:val="22"/>
        </w:rPr>
        <w:t>In November, the ECJ issued a ruling in the long running Hemming case concerning the cost of sex establishment licensing fees in Westminster. As the Board will recall, the Supreme Court overturned an earlier Court of Appeal ruling by finding that Westminster were entitled under the EU Services Directive and UK Regulations to charge licensees the cost of administering and enforcing the licensing regime, rather than just the cost of processing applications. However, the Supreme Court sought guidance from the ECJ on whether Westminster was entitled to charge for this at the point of application, or whether it was only lawful to do once an application had been accepted and a licence effectively granted.</w:t>
      </w:r>
    </w:p>
    <w:p w14:paraId="68E2A108" w14:textId="77777777" w:rsidR="00D30F20" w:rsidRPr="00D30F20" w:rsidRDefault="00D30F20" w:rsidP="00D30F20">
      <w:pPr>
        <w:rPr>
          <w:rFonts w:ascii="Arial" w:hAnsi="Arial" w:cs="Arial"/>
          <w:szCs w:val="22"/>
        </w:rPr>
      </w:pPr>
    </w:p>
    <w:p w14:paraId="59489356" w14:textId="14A36D75" w:rsidR="00D30F20" w:rsidRPr="00F4017C" w:rsidRDefault="00D30F20" w:rsidP="00F4017C">
      <w:pPr>
        <w:pStyle w:val="ListParagraph"/>
        <w:numPr>
          <w:ilvl w:val="0"/>
          <w:numId w:val="9"/>
        </w:numPr>
        <w:rPr>
          <w:rFonts w:ascii="Arial" w:hAnsi="Arial" w:cs="Arial"/>
          <w:szCs w:val="22"/>
        </w:rPr>
      </w:pPr>
      <w:r w:rsidRPr="00F4017C">
        <w:rPr>
          <w:rFonts w:ascii="Arial" w:hAnsi="Arial" w:cs="Arial"/>
          <w:szCs w:val="22"/>
        </w:rPr>
        <w:t>The ECJ argued that it was not permissible under the Services Directive for councils to levy a charge at the point of application. However, the commentary to the ruling also suggested the ECJ did not support the Supreme Court’s ruling that charging licensees for the cost of administering and enforcing the framework was lawful under the Services Directive. Therefore, although the ECJ ruling is only binding in relation to the specific question it was asked, it effectively gives a green light to further challenges on this point in the future.</w:t>
      </w:r>
    </w:p>
    <w:p w14:paraId="50492581" w14:textId="77777777" w:rsidR="00D30F20" w:rsidRPr="00D30F20" w:rsidRDefault="00D30F20" w:rsidP="00D30F20">
      <w:pPr>
        <w:rPr>
          <w:rFonts w:ascii="Arial" w:hAnsi="Arial" w:cs="Arial"/>
          <w:szCs w:val="22"/>
        </w:rPr>
      </w:pPr>
    </w:p>
    <w:p w14:paraId="3CE40188" w14:textId="46DA7CB7" w:rsidR="00D30F20" w:rsidRPr="00F4017C" w:rsidRDefault="00D30F20" w:rsidP="00F4017C">
      <w:pPr>
        <w:pStyle w:val="ListParagraph"/>
        <w:numPr>
          <w:ilvl w:val="0"/>
          <w:numId w:val="9"/>
        </w:numPr>
        <w:rPr>
          <w:rFonts w:ascii="Arial" w:hAnsi="Arial" w:cs="Arial"/>
          <w:b/>
          <w:szCs w:val="22"/>
        </w:rPr>
      </w:pPr>
      <w:r w:rsidRPr="00F4017C">
        <w:rPr>
          <w:rFonts w:ascii="Arial" w:hAnsi="Arial" w:cs="Arial"/>
          <w:szCs w:val="22"/>
        </w:rPr>
        <w:t>The LGA has issued guidance to member councils outlining the need to ensure the structure of their licensing fees is lawful in light of the ruling.</w:t>
      </w:r>
    </w:p>
    <w:p w14:paraId="2C4AA424" w14:textId="77777777" w:rsidR="00734DE1" w:rsidRPr="00734DE1" w:rsidRDefault="00734DE1" w:rsidP="00734DE1">
      <w:pPr>
        <w:rPr>
          <w:rFonts w:ascii="Arial" w:hAnsi="Arial" w:cs="Arial"/>
          <w:b/>
          <w:szCs w:val="22"/>
        </w:rPr>
      </w:pPr>
    </w:p>
    <w:p w14:paraId="5414A517" w14:textId="77777777" w:rsidR="00734DE1" w:rsidRPr="00734DE1" w:rsidRDefault="00734DE1" w:rsidP="00734DE1">
      <w:pPr>
        <w:rPr>
          <w:rFonts w:ascii="Arial" w:hAnsi="Arial" w:cs="Arial"/>
          <w:b/>
          <w:szCs w:val="22"/>
        </w:rPr>
      </w:pPr>
    </w:p>
    <w:p w14:paraId="335C47A0" w14:textId="77777777" w:rsidR="00734DE1" w:rsidRPr="008D1401" w:rsidRDefault="00734DE1" w:rsidP="008D1401">
      <w:pPr>
        <w:rPr>
          <w:rFonts w:ascii="Arial" w:hAnsi="Arial" w:cs="Arial"/>
          <w:szCs w:val="22"/>
        </w:rPr>
      </w:pPr>
    </w:p>
    <w:p w14:paraId="748D5E79" w14:textId="77777777" w:rsidR="00A64C18" w:rsidRPr="00C476FF" w:rsidRDefault="00A64C18" w:rsidP="00C476FF">
      <w:pPr>
        <w:ind w:right="300"/>
        <w:textAlignment w:val="top"/>
        <w:rPr>
          <w:rFonts w:ascii="Arial" w:hAnsi="Arial" w:cs="Arial"/>
          <w:b/>
          <w:szCs w:val="22"/>
        </w:rPr>
      </w:pPr>
    </w:p>
    <w:p w14:paraId="748D5E7A" w14:textId="77777777" w:rsidR="00A64C18" w:rsidRDefault="00A64C18">
      <w:pPr>
        <w:pStyle w:val="Default"/>
        <w:ind w:left="567"/>
        <w:rPr>
          <w:b/>
          <w:sz w:val="22"/>
          <w:szCs w:val="22"/>
          <w:lang w:val="en-GB"/>
        </w:rPr>
      </w:pPr>
    </w:p>
    <w:p w14:paraId="748D5E7B" w14:textId="77777777" w:rsidR="00A64C18" w:rsidRDefault="00A64C18">
      <w:pPr>
        <w:pStyle w:val="Default"/>
        <w:ind w:left="567"/>
        <w:rPr>
          <w:sz w:val="22"/>
          <w:szCs w:val="22"/>
          <w:lang w:val="en-GB"/>
        </w:rPr>
      </w:pPr>
    </w:p>
    <w:sectPr w:rsidR="00A64C18" w:rsidSect="009D19D4">
      <w:headerReference w:type="default" r:id="rId22"/>
      <w:footerReference w:type="default" r:id="rId23"/>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12302C" w:rsidRDefault="0012302C">
      <w:r>
        <w:separator/>
      </w:r>
    </w:p>
  </w:endnote>
  <w:endnote w:type="continuationSeparator" w:id="0">
    <w:p w14:paraId="748D5E7F" w14:textId="77777777" w:rsidR="0012302C" w:rsidRDefault="0012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12302C" w:rsidRDefault="0012302C">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12302C" w:rsidRDefault="0012302C">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12302C" w:rsidRDefault="0012302C">
      <w:r>
        <w:rPr>
          <w:color w:val="000000"/>
        </w:rPr>
        <w:separator/>
      </w:r>
    </w:p>
  </w:footnote>
  <w:footnote w:type="continuationSeparator" w:id="0">
    <w:p w14:paraId="748D5E7D" w14:textId="77777777" w:rsidR="0012302C" w:rsidRDefault="00123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12302C" w14:paraId="748D5E83" w14:textId="77777777">
      <w:tc>
        <w:tcPr>
          <w:tcW w:w="5778" w:type="dxa"/>
          <w:vMerge w:val="restart"/>
          <w:shd w:val="clear" w:color="auto" w:fill="auto"/>
          <w:tcMar>
            <w:top w:w="0" w:type="dxa"/>
            <w:left w:w="108" w:type="dxa"/>
            <w:bottom w:w="0" w:type="dxa"/>
            <w:right w:w="108" w:type="dxa"/>
          </w:tcMar>
        </w:tcPr>
        <w:p w14:paraId="748D5E80" w14:textId="77777777" w:rsidR="0012302C" w:rsidRDefault="0012302C">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12302C" w:rsidRDefault="0012302C">
          <w:pPr>
            <w:pStyle w:val="Header"/>
          </w:pPr>
        </w:p>
      </w:tc>
      <w:tc>
        <w:tcPr>
          <w:tcW w:w="3509" w:type="dxa"/>
          <w:shd w:val="clear" w:color="auto" w:fill="auto"/>
          <w:tcMar>
            <w:top w:w="0" w:type="dxa"/>
            <w:left w:w="108" w:type="dxa"/>
            <w:bottom w:w="0" w:type="dxa"/>
            <w:right w:w="108" w:type="dxa"/>
          </w:tcMar>
        </w:tcPr>
        <w:p w14:paraId="748D5E82" w14:textId="77777777" w:rsidR="0012302C" w:rsidRDefault="0012302C">
          <w:pPr>
            <w:pStyle w:val="Header"/>
          </w:pPr>
          <w:r>
            <w:rPr>
              <w:rFonts w:ascii="Arial" w:hAnsi="Arial" w:cs="Arial"/>
              <w:b/>
              <w:sz w:val="24"/>
              <w:szCs w:val="24"/>
            </w:rPr>
            <w:t xml:space="preserve">Fire Service Management Committee </w:t>
          </w:r>
        </w:p>
      </w:tc>
    </w:tr>
    <w:tr w:rsidR="0012302C"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12302C" w:rsidRDefault="0012302C">
          <w:pPr>
            <w:pStyle w:val="Header"/>
          </w:pPr>
        </w:p>
      </w:tc>
      <w:tc>
        <w:tcPr>
          <w:tcW w:w="3509" w:type="dxa"/>
          <w:shd w:val="clear" w:color="auto" w:fill="auto"/>
          <w:tcMar>
            <w:top w:w="0" w:type="dxa"/>
            <w:left w:w="108" w:type="dxa"/>
            <w:bottom w:w="0" w:type="dxa"/>
            <w:right w:w="108" w:type="dxa"/>
          </w:tcMar>
        </w:tcPr>
        <w:p w14:paraId="748D5E85" w14:textId="77777777" w:rsidR="0012302C" w:rsidRDefault="0012302C">
          <w:pPr>
            <w:pStyle w:val="Header"/>
            <w:spacing w:before="60"/>
          </w:pPr>
          <w:r>
            <w:rPr>
              <w:rFonts w:ascii="Arial" w:hAnsi="Arial" w:cs="Arial"/>
              <w:sz w:val="24"/>
              <w:szCs w:val="24"/>
            </w:rPr>
            <w:t>23 January 2012</w:t>
          </w:r>
        </w:p>
      </w:tc>
    </w:tr>
    <w:tr w:rsidR="0012302C"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12302C" w:rsidRDefault="0012302C">
          <w:pPr>
            <w:pStyle w:val="Header"/>
          </w:pPr>
        </w:p>
      </w:tc>
      <w:tc>
        <w:tcPr>
          <w:tcW w:w="3509" w:type="dxa"/>
          <w:shd w:val="clear" w:color="auto" w:fill="auto"/>
          <w:tcMar>
            <w:top w:w="0" w:type="dxa"/>
            <w:left w:w="108" w:type="dxa"/>
            <w:bottom w:w="0" w:type="dxa"/>
            <w:right w:w="108" w:type="dxa"/>
          </w:tcMar>
          <w:vAlign w:val="bottom"/>
        </w:tcPr>
        <w:p w14:paraId="748D5E88" w14:textId="77777777" w:rsidR="0012302C" w:rsidRDefault="0012302C">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12302C" w:rsidRDefault="00123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12302C" w:rsidRDefault="0012302C">
    <w:pPr>
      <w:pStyle w:val="Header"/>
      <w:rPr>
        <w:sz w:val="2"/>
      </w:rPr>
    </w:pPr>
  </w:p>
  <w:p w14:paraId="748D5E8D" w14:textId="77777777" w:rsidR="0012302C" w:rsidRDefault="0012302C">
    <w:pPr>
      <w:pStyle w:val="Header"/>
      <w:rPr>
        <w:sz w:val="2"/>
      </w:rPr>
    </w:pPr>
  </w:p>
  <w:tbl>
    <w:tblPr>
      <w:tblW w:w="9071" w:type="dxa"/>
      <w:tblCellMar>
        <w:left w:w="10" w:type="dxa"/>
        <w:right w:w="10" w:type="dxa"/>
      </w:tblCellMar>
      <w:tblLook w:val="04A0" w:firstRow="1" w:lastRow="0" w:firstColumn="1" w:lastColumn="0" w:noHBand="0" w:noVBand="1"/>
    </w:tblPr>
    <w:tblGrid>
      <w:gridCol w:w="5912"/>
      <w:gridCol w:w="3159"/>
    </w:tblGrid>
    <w:tr w:rsidR="0012302C" w14:paraId="748D5E90" w14:textId="77777777">
      <w:tc>
        <w:tcPr>
          <w:tcW w:w="5912" w:type="dxa"/>
          <w:vMerge w:val="restart"/>
          <w:shd w:val="clear" w:color="auto" w:fill="auto"/>
          <w:tcMar>
            <w:top w:w="0" w:type="dxa"/>
            <w:left w:w="108" w:type="dxa"/>
            <w:bottom w:w="0" w:type="dxa"/>
            <w:right w:w="108" w:type="dxa"/>
          </w:tcMar>
        </w:tcPr>
        <w:p w14:paraId="748D5E8E" w14:textId="77777777" w:rsidR="0012302C" w:rsidRDefault="0012302C">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748D5E8F" w14:textId="2E184146" w:rsidR="0012302C" w:rsidRDefault="0012302C" w:rsidP="00CE38B8">
          <w:pPr>
            <w:pStyle w:val="Header"/>
          </w:pPr>
          <w:r>
            <w:rPr>
              <w:rFonts w:ascii="Arial" w:hAnsi="Arial" w:cs="Arial"/>
              <w:b/>
              <w:szCs w:val="22"/>
            </w:rPr>
            <w:t>Safer and Stronger Communities Board</w:t>
          </w:r>
        </w:p>
      </w:tc>
    </w:tr>
    <w:tr w:rsidR="0012302C" w14:paraId="748D5E93" w14:textId="77777777">
      <w:trPr>
        <w:trHeight w:val="450"/>
      </w:trPr>
      <w:tc>
        <w:tcPr>
          <w:tcW w:w="5912" w:type="dxa"/>
          <w:vMerge/>
          <w:shd w:val="clear" w:color="auto" w:fill="auto"/>
          <w:tcMar>
            <w:top w:w="0" w:type="dxa"/>
            <w:left w:w="108" w:type="dxa"/>
            <w:bottom w:w="0" w:type="dxa"/>
            <w:right w:w="108" w:type="dxa"/>
          </w:tcMar>
        </w:tcPr>
        <w:p w14:paraId="748D5E91" w14:textId="77777777" w:rsidR="0012302C" w:rsidRDefault="0012302C">
          <w:pPr>
            <w:pStyle w:val="Header"/>
          </w:pPr>
        </w:p>
      </w:tc>
      <w:tc>
        <w:tcPr>
          <w:tcW w:w="3159" w:type="dxa"/>
          <w:shd w:val="clear" w:color="auto" w:fill="auto"/>
          <w:tcMar>
            <w:top w:w="0" w:type="dxa"/>
            <w:left w:w="108" w:type="dxa"/>
            <w:bottom w:w="0" w:type="dxa"/>
            <w:right w:w="108" w:type="dxa"/>
          </w:tcMar>
        </w:tcPr>
        <w:p w14:paraId="748D5E92" w14:textId="00040E02" w:rsidR="0012302C" w:rsidRDefault="0012302C">
          <w:pPr>
            <w:pStyle w:val="Header"/>
            <w:spacing w:before="60"/>
          </w:pPr>
          <w:r>
            <w:rPr>
              <w:rFonts w:ascii="Arial" w:hAnsi="Arial" w:cs="Arial"/>
              <w:szCs w:val="22"/>
            </w:rPr>
            <w:t>16 January 2017</w:t>
          </w:r>
        </w:p>
      </w:tc>
    </w:tr>
    <w:tr w:rsidR="0012302C" w14:paraId="748D5E96" w14:textId="77777777">
      <w:trPr>
        <w:trHeight w:val="450"/>
      </w:trPr>
      <w:tc>
        <w:tcPr>
          <w:tcW w:w="5912" w:type="dxa"/>
          <w:vMerge/>
          <w:shd w:val="clear" w:color="auto" w:fill="auto"/>
          <w:tcMar>
            <w:top w:w="0" w:type="dxa"/>
            <w:left w:w="108" w:type="dxa"/>
            <w:bottom w:w="0" w:type="dxa"/>
            <w:right w:w="108" w:type="dxa"/>
          </w:tcMar>
        </w:tcPr>
        <w:p w14:paraId="748D5E94" w14:textId="77777777" w:rsidR="0012302C" w:rsidRDefault="0012302C">
          <w:pPr>
            <w:pStyle w:val="Header"/>
          </w:pPr>
        </w:p>
      </w:tc>
      <w:tc>
        <w:tcPr>
          <w:tcW w:w="3159" w:type="dxa"/>
          <w:shd w:val="clear" w:color="auto" w:fill="auto"/>
          <w:tcMar>
            <w:top w:w="0" w:type="dxa"/>
            <w:left w:w="108" w:type="dxa"/>
            <w:bottom w:w="0" w:type="dxa"/>
            <w:right w:w="108" w:type="dxa"/>
          </w:tcMar>
        </w:tcPr>
        <w:p w14:paraId="748D5E95" w14:textId="77777777" w:rsidR="0012302C" w:rsidRDefault="0012302C">
          <w:pPr>
            <w:pStyle w:val="Header"/>
            <w:spacing w:before="60"/>
            <w:rPr>
              <w:rFonts w:ascii="Arial" w:hAnsi="Arial" w:cs="Arial"/>
              <w:b/>
              <w:szCs w:val="22"/>
            </w:rPr>
          </w:pPr>
        </w:p>
      </w:tc>
    </w:tr>
  </w:tbl>
  <w:p w14:paraId="748D5E97" w14:textId="77777777" w:rsidR="0012302C" w:rsidRDefault="001230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12302C" w14:paraId="748D5E9A" w14:textId="77777777">
      <w:tc>
        <w:tcPr>
          <w:tcW w:w="5912" w:type="dxa"/>
          <w:vMerge w:val="restart"/>
          <w:shd w:val="clear" w:color="auto" w:fill="auto"/>
          <w:tcMar>
            <w:top w:w="0" w:type="dxa"/>
            <w:left w:w="108" w:type="dxa"/>
            <w:bottom w:w="0" w:type="dxa"/>
            <w:right w:w="108" w:type="dxa"/>
          </w:tcMar>
        </w:tcPr>
        <w:p w14:paraId="748D5E98" w14:textId="77777777" w:rsidR="0012302C" w:rsidRDefault="0012302C" w:rsidP="002878F0">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748D5E99" w14:textId="5A80AA5A" w:rsidR="0012302C" w:rsidRDefault="0012302C" w:rsidP="002878F0">
          <w:pPr>
            <w:pStyle w:val="Header"/>
          </w:pPr>
          <w:r>
            <w:rPr>
              <w:rFonts w:ascii="Arial" w:hAnsi="Arial" w:cs="Arial"/>
              <w:b/>
              <w:szCs w:val="22"/>
            </w:rPr>
            <w:t>Safer and Stronger Communities Board</w:t>
          </w:r>
        </w:p>
      </w:tc>
    </w:tr>
    <w:tr w:rsidR="0012302C" w14:paraId="748D5E9D" w14:textId="77777777">
      <w:trPr>
        <w:trHeight w:val="450"/>
      </w:trPr>
      <w:tc>
        <w:tcPr>
          <w:tcW w:w="5912" w:type="dxa"/>
          <w:vMerge/>
          <w:shd w:val="clear" w:color="auto" w:fill="auto"/>
          <w:tcMar>
            <w:top w:w="0" w:type="dxa"/>
            <w:left w:w="108" w:type="dxa"/>
            <w:bottom w:w="0" w:type="dxa"/>
            <w:right w:w="108" w:type="dxa"/>
          </w:tcMar>
        </w:tcPr>
        <w:p w14:paraId="748D5E9B" w14:textId="77777777" w:rsidR="0012302C" w:rsidRDefault="0012302C" w:rsidP="002878F0">
          <w:pPr>
            <w:pStyle w:val="Header"/>
          </w:pPr>
        </w:p>
      </w:tc>
      <w:tc>
        <w:tcPr>
          <w:tcW w:w="3159" w:type="dxa"/>
          <w:shd w:val="clear" w:color="auto" w:fill="auto"/>
          <w:tcMar>
            <w:top w:w="0" w:type="dxa"/>
            <w:left w:w="108" w:type="dxa"/>
            <w:bottom w:w="0" w:type="dxa"/>
            <w:right w:w="108" w:type="dxa"/>
          </w:tcMar>
        </w:tcPr>
        <w:p w14:paraId="748D5E9C" w14:textId="3F73EC24" w:rsidR="0012302C" w:rsidRDefault="0012302C" w:rsidP="002878F0">
          <w:pPr>
            <w:pStyle w:val="Header"/>
            <w:spacing w:before="60"/>
          </w:pPr>
          <w:r>
            <w:rPr>
              <w:rFonts w:ascii="Arial" w:hAnsi="Arial" w:cs="Arial"/>
              <w:szCs w:val="22"/>
            </w:rPr>
            <w:t>16 January 2017</w:t>
          </w:r>
        </w:p>
      </w:tc>
    </w:tr>
    <w:tr w:rsidR="0012302C" w14:paraId="748D5EA0" w14:textId="77777777">
      <w:trPr>
        <w:trHeight w:val="450"/>
      </w:trPr>
      <w:tc>
        <w:tcPr>
          <w:tcW w:w="5912" w:type="dxa"/>
          <w:vMerge/>
          <w:shd w:val="clear" w:color="auto" w:fill="auto"/>
          <w:tcMar>
            <w:top w:w="0" w:type="dxa"/>
            <w:left w:w="108" w:type="dxa"/>
            <w:bottom w:w="0" w:type="dxa"/>
            <w:right w:w="108" w:type="dxa"/>
          </w:tcMar>
        </w:tcPr>
        <w:p w14:paraId="748D5E9E" w14:textId="77777777" w:rsidR="0012302C" w:rsidRDefault="0012302C">
          <w:pPr>
            <w:pStyle w:val="Header"/>
          </w:pPr>
        </w:p>
      </w:tc>
      <w:tc>
        <w:tcPr>
          <w:tcW w:w="3159" w:type="dxa"/>
          <w:shd w:val="clear" w:color="auto" w:fill="auto"/>
          <w:tcMar>
            <w:top w:w="0" w:type="dxa"/>
            <w:left w:w="108" w:type="dxa"/>
            <w:bottom w:w="0" w:type="dxa"/>
            <w:right w:w="108" w:type="dxa"/>
          </w:tcMar>
        </w:tcPr>
        <w:p w14:paraId="748D5E9F" w14:textId="77777777" w:rsidR="0012302C" w:rsidRDefault="0012302C">
          <w:pPr>
            <w:pStyle w:val="Header"/>
            <w:spacing w:before="60"/>
            <w:rPr>
              <w:rFonts w:ascii="Arial" w:hAnsi="Arial" w:cs="Arial"/>
              <w:b/>
              <w:szCs w:val="22"/>
            </w:rPr>
          </w:pPr>
        </w:p>
      </w:tc>
    </w:tr>
  </w:tbl>
  <w:p w14:paraId="748D5EA1" w14:textId="77777777" w:rsidR="0012302C" w:rsidRDefault="0012302C">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0C6A2D"/>
    <w:multiLevelType w:val="hybridMultilevel"/>
    <w:tmpl w:val="617659F6"/>
    <w:lvl w:ilvl="0" w:tplc="94B802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7C1F13"/>
    <w:multiLevelType w:val="hybridMultilevel"/>
    <w:tmpl w:val="4B10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B07B94"/>
    <w:multiLevelType w:val="hybridMultilevel"/>
    <w:tmpl w:val="52EA746E"/>
    <w:lvl w:ilvl="0" w:tplc="0D16783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32312"/>
    <w:multiLevelType w:val="hybridMultilevel"/>
    <w:tmpl w:val="69881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12302C"/>
    <w:rsid w:val="0013626B"/>
    <w:rsid w:val="00197A8A"/>
    <w:rsid w:val="002135F6"/>
    <w:rsid w:val="002270F8"/>
    <w:rsid w:val="00227257"/>
    <w:rsid w:val="002878F0"/>
    <w:rsid w:val="00321F58"/>
    <w:rsid w:val="00381030"/>
    <w:rsid w:val="003A2D0D"/>
    <w:rsid w:val="003A6BEF"/>
    <w:rsid w:val="004922BE"/>
    <w:rsid w:val="00494B78"/>
    <w:rsid w:val="005D7899"/>
    <w:rsid w:val="005F2CEA"/>
    <w:rsid w:val="006208B1"/>
    <w:rsid w:val="00734DE1"/>
    <w:rsid w:val="007576BE"/>
    <w:rsid w:val="00761F3D"/>
    <w:rsid w:val="00791D4B"/>
    <w:rsid w:val="007A73AA"/>
    <w:rsid w:val="00843AFA"/>
    <w:rsid w:val="008B42AE"/>
    <w:rsid w:val="008D1401"/>
    <w:rsid w:val="009D19D4"/>
    <w:rsid w:val="009D70E4"/>
    <w:rsid w:val="00A10790"/>
    <w:rsid w:val="00A64C18"/>
    <w:rsid w:val="00A92CA1"/>
    <w:rsid w:val="00BC12F9"/>
    <w:rsid w:val="00C41367"/>
    <w:rsid w:val="00C476FF"/>
    <w:rsid w:val="00C72B86"/>
    <w:rsid w:val="00C825F7"/>
    <w:rsid w:val="00CE38B8"/>
    <w:rsid w:val="00CF1242"/>
    <w:rsid w:val="00D17507"/>
    <w:rsid w:val="00D30F20"/>
    <w:rsid w:val="00D87874"/>
    <w:rsid w:val="00E1240C"/>
    <w:rsid w:val="00E43E1C"/>
    <w:rsid w:val="00F2663C"/>
    <w:rsid w:val="00F4017C"/>
    <w:rsid w:val="00F40963"/>
    <w:rsid w:val="00FA3404"/>
    <w:rsid w:val="00FB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uiPriority w:val="99"/>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 w:type="table" w:styleId="TableGrid">
    <w:name w:val="Table Grid"/>
    <w:basedOn w:val="TableNormal"/>
    <w:rsid w:val="003A6BEF"/>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p">
    <w:name w:val="gd_p"/>
    <w:basedOn w:val="Normal"/>
    <w:rsid w:val="00F2663C"/>
    <w:pPr>
      <w:suppressAutoHyphens w:val="0"/>
      <w:autoSpaceDN/>
      <w:spacing w:before="100" w:beforeAutospacing="1" w:after="100" w:afterAutospacing="1"/>
      <w:textAlignment w:val="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6795">
      <w:bodyDiv w:val="1"/>
      <w:marLeft w:val="0"/>
      <w:marRight w:val="0"/>
      <w:marTop w:val="0"/>
      <w:marBottom w:val="0"/>
      <w:divBdr>
        <w:top w:val="none" w:sz="0" w:space="0" w:color="auto"/>
        <w:left w:val="none" w:sz="0" w:space="0" w:color="auto"/>
        <w:bottom w:val="none" w:sz="0" w:space="0" w:color="auto"/>
        <w:right w:val="none" w:sz="0" w:space="0" w:color="auto"/>
      </w:divBdr>
    </w:div>
    <w:div w:id="446118114">
      <w:bodyDiv w:val="1"/>
      <w:marLeft w:val="0"/>
      <w:marRight w:val="0"/>
      <w:marTop w:val="0"/>
      <w:marBottom w:val="0"/>
      <w:divBdr>
        <w:top w:val="none" w:sz="0" w:space="0" w:color="auto"/>
        <w:left w:val="none" w:sz="0" w:space="0" w:color="auto"/>
        <w:bottom w:val="none" w:sz="0" w:space="0" w:color="auto"/>
        <w:right w:val="none" w:sz="0" w:space="0" w:color="auto"/>
      </w:divBdr>
    </w:div>
    <w:div w:id="588201835">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55312504">
      <w:bodyDiv w:val="1"/>
      <w:marLeft w:val="0"/>
      <w:marRight w:val="0"/>
      <w:marTop w:val="0"/>
      <w:marBottom w:val="0"/>
      <w:divBdr>
        <w:top w:val="none" w:sz="0" w:space="0" w:color="auto"/>
        <w:left w:val="none" w:sz="0" w:space="0" w:color="auto"/>
        <w:bottom w:val="none" w:sz="0" w:space="0" w:color="auto"/>
        <w:right w:val="none" w:sz="0" w:space="0" w:color="auto"/>
      </w:divBdr>
    </w:div>
    <w:div w:id="896430490">
      <w:bodyDiv w:val="1"/>
      <w:marLeft w:val="0"/>
      <w:marRight w:val="0"/>
      <w:marTop w:val="0"/>
      <w:marBottom w:val="0"/>
      <w:divBdr>
        <w:top w:val="none" w:sz="0" w:space="0" w:color="auto"/>
        <w:left w:val="none" w:sz="0" w:space="0" w:color="auto"/>
        <w:bottom w:val="none" w:sz="0" w:space="0" w:color="auto"/>
        <w:right w:val="none" w:sz="0" w:space="0" w:color="auto"/>
      </w:divBdr>
    </w:div>
    <w:div w:id="1175456722">
      <w:bodyDiv w:val="1"/>
      <w:marLeft w:val="0"/>
      <w:marRight w:val="0"/>
      <w:marTop w:val="0"/>
      <w:marBottom w:val="0"/>
      <w:divBdr>
        <w:top w:val="none" w:sz="0" w:space="0" w:color="auto"/>
        <w:left w:val="none" w:sz="0" w:space="0" w:color="auto"/>
        <w:bottom w:val="none" w:sz="0" w:space="0" w:color="auto"/>
        <w:right w:val="none" w:sz="0" w:space="0" w:color="auto"/>
      </w:divBdr>
    </w:div>
    <w:div w:id="1608847199">
      <w:bodyDiv w:val="1"/>
      <w:marLeft w:val="0"/>
      <w:marRight w:val="0"/>
      <w:marTop w:val="0"/>
      <w:marBottom w:val="0"/>
      <w:divBdr>
        <w:top w:val="none" w:sz="0" w:space="0" w:color="auto"/>
        <w:left w:val="none" w:sz="0" w:space="0" w:color="auto"/>
        <w:bottom w:val="none" w:sz="0" w:space="0" w:color="auto"/>
        <w:right w:val="none" w:sz="0" w:space="0" w:color="auto"/>
      </w:divBdr>
    </w:div>
    <w:div w:id="1798985752">
      <w:bodyDiv w:val="1"/>
      <w:marLeft w:val="0"/>
      <w:marRight w:val="0"/>
      <w:marTop w:val="0"/>
      <w:marBottom w:val="0"/>
      <w:divBdr>
        <w:top w:val="none" w:sz="0" w:space="0" w:color="auto"/>
        <w:left w:val="none" w:sz="0" w:space="0" w:color="auto"/>
        <w:bottom w:val="none" w:sz="0" w:space="0" w:color="auto"/>
        <w:right w:val="none" w:sz="0" w:space="0" w:color="auto"/>
      </w:divBdr>
    </w:div>
    <w:div w:id="186767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nks.govdelivery.com:80/track?type=click&amp;enid=ZWFzPTEmbXNpZD0mYXVpZD0mbWFpbGluZ2lkPTIwMTYxMjIwLjY3ODc3NDIxJm1lc3NhZ2VpZD1NREItUFJELUJVTC0yMDE2MTIyMC42Nzg3NzQyMSZkYXRhYmFzZWlkPTEwMDEmc2VyaWFsPTE2ODgxOTIzJmVtYWlsaWQ9bHVjeS5lbGxlbmRlckBsb2NhbC5nb3YudWsmdXNlcmlkPWx1Y3kuZWxsZW5kZXJAbG9jYWwuZ292LnVrJnRhcmdldGlkPSZmbD0mZXh0cmE9TXVsdGl2YXJpYXRlSWQ9JiYm&amp;&amp;&amp;117&amp;&amp;&amp;http://nationalfgmcentre.org.uk/training" TargetMode="External"/><Relationship Id="rId18" Type="http://schemas.openxmlformats.org/officeDocument/2006/relationships/hyperlink" Target="https://www.gov.uk/government/publications/domestic-homicide-review-lessons-learned" TargetMode="External"/><Relationship Id="rId3" Type="http://schemas.openxmlformats.org/officeDocument/2006/relationships/customXml" Target="../customXml/item3.xml"/><Relationship Id="rId21" Type="http://schemas.openxmlformats.org/officeDocument/2006/relationships/hyperlink" Target="http://www.local.gov.uk/web/guest/briefings-and-responses/-/journal_content/56/10180/7730394/ARTICLE"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gov.uk/government/uploads/system/uploads/attachment_data/file/575273/DHR-Statutory-Guidance-16120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violence-against-women-and-girls-services-local-commissioning" TargetMode="External"/><Relationship Id="rId20" Type="http://schemas.openxmlformats.org/officeDocument/2006/relationships/hyperlink" Target="http://www.local.gov.uk/research-community-safety/-/journal_content/56/10180/8105799/ARTICL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violence-against-women-and-girls-service-transformation-fund"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www.gov.uk/government/publications/domestic-violence-disclosure-scheme-pilot-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violence-against-women-and-girls-national-statement-of-expectation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Props1.xml><?xml version="1.0" encoding="utf-8"?>
<ds:datastoreItem xmlns:ds="http://schemas.openxmlformats.org/officeDocument/2006/customXml" ds:itemID="{568E6E17-B13F-467C-A2C3-D51CB3783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3.xml><?xml version="1.0" encoding="utf-8"?>
<ds:datastoreItem xmlns:ds="http://schemas.openxmlformats.org/officeDocument/2006/customXml" ds:itemID="{E25D0FE2-49B2-4A50-8560-C896FB20688A}">
  <ds:schemaRefs>
    <ds:schemaRef ds:uri="http://schemas.openxmlformats.org/package/2006/metadata/core-properties"/>
    <ds:schemaRef ds:uri="1c8a0e75-f4bc-4eb4-8ed0-578eaea9e1ca"/>
    <ds:schemaRef ds:uri="c8febe6a-14d9-43ab-83c3-c48f478fa47c"/>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962ABE51</Template>
  <TotalTime>4</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5</cp:revision>
  <cp:lastPrinted>2014-08-22T13:33:00Z</cp:lastPrinted>
  <dcterms:created xsi:type="dcterms:W3CDTF">2017-01-09T12:33:00Z</dcterms:created>
  <dcterms:modified xsi:type="dcterms:W3CDTF">2017-01-09T14:18:00Z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0x010100647B51E8B72FFB40AC4C20EC850D9188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